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highlight w:val="none"/>
          <w:u w:val="single"/>
        </w:rPr>
      </w:pPr>
    </w:p>
    <w:p>
      <w:pPr>
        <w:spacing w:line="360" w:lineRule="auto"/>
        <w:jc w:val="center"/>
        <w:rPr>
          <w:rFonts w:ascii="宋体" w:hAnsi="宋体"/>
          <w:b/>
          <w:bCs/>
          <w:sz w:val="32"/>
          <w:szCs w:val="32"/>
          <w:highlight w:val="none"/>
          <w:u w:val="single"/>
        </w:rPr>
      </w:pPr>
    </w:p>
    <w:p>
      <w:pPr>
        <w:pStyle w:val="10"/>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 xml:space="preserve">安徽融耀科技产业发展有限公司界首市田营科技园排水管网及雨水处理站建设工程施工阶段全过程跟踪审计服务 </w:t>
      </w:r>
    </w:p>
    <w:p>
      <w:pPr>
        <w:pStyle w:val="10"/>
        <w:jc w:val="center"/>
        <w:rPr>
          <w:rFonts w:hint="eastAsia" w:cs="Times New Roman"/>
          <w:b/>
          <w:kern w:val="2"/>
          <w:sz w:val="52"/>
          <w:szCs w:val="52"/>
          <w:highlight w:val="none"/>
          <w:lang w:val="en-US" w:eastAsia="zh-CN" w:bidi="ar-SA"/>
        </w:rPr>
      </w:pPr>
    </w:p>
    <w:p>
      <w:pPr>
        <w:pStyle w:val="16"/>
        <w:rPr>
          <w:rFonts w:hint="eastAsia" w:ascii="宋体" w:hAnsi="宋体"/>
          <w:b/>
          <w:bCs/>
          <w:sz w:val="32"/>
          <w:szCs w:val="32"/>
          <w:highlight w:val="none"/>
          <w:u w:val="single"/>
          <w:lang w:eastAsia="zh-CN"/>
        </w:rPr>
      </w:pPr>
    </w:p>
    <w:p>
      <w:pPr>
        <w:rPr>
          <w:rFonts w:hint="eastAsia"/>
          <w:highlight w:val="none"/>
          <w:lang w:eastAsia="zh-CN"/>
        </w:rPr>
      </w:pPr>
    </w:p>
    <w:p>
      <w:pPr>
        <w:jc w:val="center"/>
        <w:rPr>
          <w:rFonts w:ascii="宋体" w:hAnsi="宋体"/>
          <w:sz w:val="32"/>
          <w:szCs w:val="32"/>
          <w:highlight w:val="none"/>
        </w:rPr>
      </w:pPr>
      <w:r>
        <w:rPr>
          <w:rFonts w:hint="eastAsia" w:ascii="宋体" w:hAnsi="宋体"/>
          <w:b/>
          <w:bCs/>
          <w:sz w:val="72"/>
          <w:szCs w:val="72"/>
          <w:highlight w:val="none"/>
        </w:rPr>
        <w:t>竞争性磋商文件</w:t>
      </w: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ind w:firstLine="963" w:firstLineChars="200"/>
        <w:jc w:val="both"/>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0"/>
        </w:rPr>
        <w:t xml:space="preserve">采 购 </w:t>
      </w:r>
      <w:r>
        <w:rPr>
          <w:rFonts w:hint="eastAsia" w:ascii="宋体" w:hAnsi="宋体"/>
          <w:b/>
          <w:spacing w:val="0"/>
          <w:kern w:val="0"/>
          <w:sz w:val="32"/>
          <w:szCs w:val="32"/>
          <w:highlight w:val="none"/>
          <w:fitText w:val="1920" w:id="0"/>
        </w:rPr>
        <w:t>人</w:t>
      </w:r>
      <w:r>
        <w:rPr>
          <w:rFonts w:hint="eastAsia" w:ascii="宋体" w:hAnsi="宋体"/>
          <w:b/>
          <w:sz w:val="32"/>
          <w:szCs w:val="32"/>
          <w:highlight w:val="none"/>
        </w:rPr>
        <w:t>：</w:t>
      </w:r>
      <w:r>
        <w:rPr>
          <w:rFonts w:hint="eastAsia" w:ascii="宋体" w:hAnsi="宋体"/>
          <w:b/>
          <w:sz w:val="32"/>
          <w:szCs w:val="32"/>
          <w:highlight w:val="none"/>
          <w:u w:val="single"/>
          <w:lang w:eastAsia="zh-CN"/>
        </w:rPr>
        <w:t>安徽融耀科技产业发展有限公司</w:t>
      </w:r>
    </w:p>
    <w:p>
      <w:pPr>
        <w:pStyle w:val="16"/>
        <w:rPr>
          <w:rFonts w:hint="eastAsia"/>
          <w:highlight w:val="none"/>
        </w:rPr>
      </w:pPr>
    </w:p>
    <w:p>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安徽首建工程建设项目管理有限公司</w:t>
      </w:r>
    </w:p>
    <w:p>
      <w:pPr>
        <w:rPr>
          <w:rFonts w:ascii="宋体" w:hAnsi="宋体"/>
          <w:b/>
          <w:sz w:val="32"/>
          <w:szCs w:val="32"/>
          <w:highlight w:val="none"/>
          <w:u w:val="single"/>
        </w:rPr>
      </w:pPr>
    </w:p>
    <w:p>
      <w:pPr>
        <w:spacing w:line="440" w:lineRule="exact"/>
        <w:ind w:right="42" w:rightChars="20"/>
        <w:jc w:val="center"/>
        <w:rPr>
          <w:rFonts w:ascii="宋体" w:hAnsi="宋体" w:cs="Arial"/>
          <w:b/>
          <w:sz w:val="32"/>
          <w:szCs w:val="32"/>
          <w:highlight w:val="none"/>
        </w:rPr>
      </w:pPr>
    </w:p>
    <w:p>
      <w:pPr>
        <w:spacing w:line="440" w:lineRule="exact"/>
        <w:ind w:right="42" w:rightChars="20"/>
        <w:jc w:val="center"/>
        <w:rPr>
          <w:rFonts w:ascii="宋体" w:hAnsi="宋体" w:cs="Arial"/>
          <w:b/>
          <w:sz w:val="32"/>
          <w:szCs w:val="32"/>
          <w:highlight w:val="none"/>
        </w:rPr>
      </w:pPr>
    </w:p>
    <w:p>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5</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11</w:t>
      </w:r>
      <w:r>
        <w:rPr>
          <w:rFonts w:hint="eastAsia" w:ascii="宋体" w:hAnsi="宋体" w:cs="Arial"/>
          <w:b/>
          <w:sz w:val="32"/>
          <w:szCs w:val="32"/>
          <w:highlight w:val="none"/>
        </w:rPr>
        <w:t>月</w:t>
      </w:r>
      <w:r>
        <w:rPr>
          <w:rFonts w:ascii="宋体" w:hAnsi="宋体" w:cs="Arial"/>
          <w:b/>
          <w:sz w:val="32"/>
          <w:szCs w:val="32"/>
          <w:highlight w:val="none"/>
        </w:rPr>
        <w:t xml:space="preserve"> </w:t>
      </w:r>
    </w:p>
    <w:p>
      <w:pPr>
        <w:widowControl/>
        <w:jc w:val="left"/>
        <w:rPr>
          <w:rFonts w:ascii="宋体" w:hAnsi="宋体"/>
          <w:sz w:val="32"/>
          <w:szCs w:val="32"/>
          <w:highlight w:val="none"/>
        </w:rPr>
      </w:pPr>
      <w:r>
        <w:rPr>
          <w:rFonts w:ascii="宋体" w:hAnsi="宋体"/>
          <w:sz w:val="32"/>
          <w:szCs w:val="32"/>
          <w:highlight w:val="none"/>
        </w:rPr>
        <w:br w:type="page"/>
      </w:r>
    </w:p>
    <w:p>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pPr>
        <w:pStyle w:val="22"/>
        <w:rPr>
          <w:rFonts w:ascii="宋体" w:hAnsi="宋体"/>
          <w:b/>
          <w:sz w:val="32"/>
          <w:highlight w:val="none"/>
        </w:rPr>
      </w:pPr>
    </w:p>
    <w:p>
      <w:pPr>
        <w:pStyle w:val="22"/>
        <w:rPr>
          <w:rFonts w:ascii="宋体" w:hAnsi="宋体"/>
          <w:b/>
          <w:sz w:val="32"/>
          <w:highlight w:val="none"/>
        </w:rPr>
      </w:pPr>
    </w:p>
    <w:p>
      <w:pPr>
        <w:pStyle w:val="13"/>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17</w:t>
      </w:r>
      <w:r>
        <w:rPr>
          <w:b/>
          <w:bCs/>
          <w:sz w:val="24"/>
          <w:szCs w:val="24"/>
          <w:highlight w:val="none"/>
        </w:rPr>
        <w:fldChar w:fldCharType="end"/>
      </w:r>
      <w:r>
        <w:rPr>
          <w:b/>
          <w:bCs/>
          <w:sz w:val="24"/>
          <w:szCs w:val="24"/>
          <w:highlight w:val="none"/>
        </w:rPr>
        <w:fldChar w:fldCharType="end"/>
      </w:r>
    </w:p>
    <w:p>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0</w:t>
      </w:r>
      <w:r>
        <w:rPr>
          <w:b/>
          <w:bCs/>
          <w:sz w:val="24"/>
          <w:szCs w:val="24"/>
          <w:highlight w:val="none"/>
        </w:rPr>
        <w:fldChar w:fldCharType="end"/>
      </w:r>
      <w:r>
        <w:rPr>
          <w:b/>
          <w:bCs/>
          <w:sz w:val="24"/>
          <w:szCs w:val="24"/>
          <w:highlight w:val="none"/>
        </w:rPr>
        <w:fldChar w:fldCharType="end"/>
      </w:r>
    </w:p>
    <w:p>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3</w:t>
      </w:r>
      <w:r>
        <w:rPr>
          <w:b/>
          <w:bCs/>
          <w:sz w:val="24"/>
          <w:szCs w:val="24"/>
          <w:highlight w:val="none"/>
        </w:rPr>
        <w:fldChar w:fldCharType="end"/>
      </w:r>
      <w:r>
        <w:rPr>
          <w:b/>
          <w:bCs/>
          <w:sz w:val="24"/>
          <w:szCs w:val="24"/>
          <w:highlight w:val="none"/>
        </w:rPr>
        <w:fldChar w:fldCharType="end"/>
      </w:r>
    </w:p>
    <w:p>
      <w:pPr>
        <w:pStyle w:val="13"/>
        <w:tabs>
          <w:tab w:val="right" w:leader="dot" w:pos="8890"/>
        </w:tabs>
        <w:spacing w:line="480" w:lineRule="auto"/>
        <w:rPr>
          <w:highlight w:val="none"/>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w:t>
      </w:r>
      <w:r>
        <w:rPr>
          <w:rFonts w:hint="eastAsia"/>
          <w:b/>
          <w:bCs/>
          <w:sz w:val="24"/>
          <w:szCs w:val="24"/>
          <w:highlight w:val="none"/>
          <w:lang w:val="en-US" w:eastAsia="zh-CN"/>
        </w:rPr>
        <w:t>2</w:t>
      </w:r>
      <w:r>
        <w:rPr>
          <w:b/>
          <w:bCs/>
          <w:sz w:val="24"/>
          <w:szCs w:val="24"/>
          <w:highlight w:val="none"/>
        </w:rPr>
        <w:fldChar w:fldCharType="end"/>
      </w:r>
      <w:r>
        <w:rPr>
          <w:b/>
          <w:bCs/>
          <w:sz w:val="24"/>
          <w:szCs w:val="24"/>
          <w:highlight w:val="none"/>
        </w:rPr>
        <w:fldChar w:fldCharType="end"/>
      </w:r>
    </w:p>
    <w:p>
      <w:pPr>
        <w:spacing w:line="480" w:lineRule="auto"/>
        <w:rPr>
          <w:b/>
          <w:bCs/>
          <w:highlight w:val="none"/>
        </w:rPr>
      </w:pPr>
      <w:r>
        <w:rPr>
          <w:bCs/>
          <w:highlight w:val="none"/>
        </w:rPr>
        <w:fldChar w:fldCharType="end"/>
      </w:r>
    </w:p>
    <w:p>
      <w:pPr>
        <w:widowControl/>
        <w:jc w:val="left"/>
        <w:rPr>
          <w:rFonts w:ascii="宋体" w:hAnsi="宋体"/>
          <w:highlight w:val="none"/>
        </w:rPr>
        <w:sectPr>
          <w:pgSz w:w="11910" w:h="16840"/>
          <w:pgMar w:top="1380" w:right="1440" w:bottom="1500" w:left="1580" w:header="877" w:footer="1304" w:gutter="0"/>
          <w:cols w:space="720" w:num="1"/>
        </w:sectPr>
      </w:pPr>
    </w:p>
    <w:p>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7080"/>
      <w:bookmarkStart w:id="4" w:name="_Toc28359012"/>
      <w:bookmarkStart w:id="5" w:name="_Toc35393629"/>
      <w:bookmarkStart w:id="6" w:name="_Toc23481"/>
      <w:bookmarkStart w:id="7" w:name="_Toc28359089"/>
      <w:bookmarkStart w:id="8" w:name="_Toc3172"/>
      <w:bookmarkStart w:id="9" w:name="_Toc35393798"/>
      <w:r>
        <w:rPr>
          <w:rFonts w:hint="eastAsia" w:ascii="宋体" w:hAnsi="宋体" w:eastAsia="宋体"/>
          <w:b/>
          <w:i w:val="0"/>
          <w:kern w:val="2"/>
          <w:sz w:val="21"/>
          <w:szCs w:val="21"/>
          <w:highlight w:val="none"/>
          <w:lang w:val="en-US" w:bidi="ar-SA"/>
        </w:rPr>
        <w:t>项目概况</w:t>
      </w:r>
      <w:bookmarkEnd w:id="2"/>
    </w:p>
    <w:p>
      <w:pPr>
        <w:spacing w:line="360" w:lineRule="auto"/>
        <w:ind w:firstLine="420" w:firstLineChars="200"/>
        <w:jc w:val="left"/>
        <w:rPr>
          <w:rFonts w:hint="eastAsia" w:ascii="宋体" w:hAnsi="宋体" w:eastAsia="宋体" w:cs="Times New Roman"/>
          <w:sz w:val="21"/>
          <w:szCs w:val="21"/>
          <w:highlight w:val="none"/>
          <w:lang w:val="en-US" w:eastAsia="zh-CN"/>
        </w:rPr>
      </w:pPr>
      <w:bookmarkStart w:id="10" w:name="_Toc3593"/>
      <w:r>
        <w:rPr>
          <w:rFonts w:hint="eastAsia" w:ascii="宋体" w:hAnsi="宋体" w:cs="Times New Roman"/>
          <w:sz w:val="21"/>
          <w:szCs w:val="21"/>
          <w:highlight w:val="none"/>
          <w:lang w:val="en-US" w:eastAsia="zh-CN"/>
        </w:rPr>
        <w:t>安徽首建工程建设项目管理有限公司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安徽融耀科技产业发展有限公司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sz w:val="21"/>
          <w:szCs w:val="21"/>
          <w:highlight w:val="none"/>
          <w:lang w:val="en-US" w:eastAsia="zh-CN"/>
        </w:rPr>
        <w:t>安徽融耀科技产业发展有限公司界首市田营科技园排水管网及雨水处理站建设工程施工阶段全过程跟踪审计服务</w:t>
      </w:r>
      <w:r>
        <w:rPr>
          <w:rFonts w:hint="eastAsia" w:ascii="宋体" w:hAnsi="宋体" w:eastAsia="宋体" w:cs="Times New Roman"/>
          <w:sz w:val="21"/>
          <w:szCs w:val="21"/>
          <w:highlight w:val="none"/>
          <w:lang w:val="en-US" w:eastAsia="zh-CN"/>
        </w:rPr>
        <w:t>进行招标,欢迎符合条件的供应商参加响应，并于</w:t>
      </w:r>
      <w:r>
        <w:rPr>
          <w:rFonts w:hint="eastAsia" w:ascii="宋体" w:hAnsi="宋体" w:eastAsia="宋体" w:cs="Times New Roman"/>
          <w:sz w:val="21"/>
          <w:szCs w:val="21"/>
          <w:highlight w:val="none"/>
          <w:u w:val="single"/>
          <w:lang w:val="en-US" w:eastAsia="zh-CN"/>
        </w:rPr>
        <w:t>2025年</w:t>
      </w:r>
      <w:r>
        <w:rPr>
          <w:rFonts w:hint="eastAsia" w:ascii="宋体" w:hAnsi="宋体" w:cs="Times New Roman"/>
          <w:sz w:val="21"/>
          <w:szCs w:val="21"/>
          <w:highlight w:val="none"/>
          <w:u w:val="single"/>
          <w:lang w:val="en-US" w:eastAsia="zh-CN"/>
        </w:rPr>
        <w:t>12</w:t>
      </w:r>
      <w:r>
        <w:rPr>
          <w:rFonts w:hint="eastAsia" w:ascii="宋体" w:hAnsi="宋体" w:eastAsia="宋体" w:cs="Times New Roman"/>
          <w:sz w:val="21"/>
          <w:szCs w:val="21"/>
          <w:highlight w:val="none"/>
          <w:u w:val="single"/>
          <w:lang w:val="en-US" w:eastAsia="zh-CN"/>
        </w:rPr>
        <w:t>月</w:t>
      </w:r>
      <w:r>
        <w:rPr>
          <w:rFonts w:hint="eastAsia" w:ascii="宋体" w:hAnsi="宋体" w:cs="Times New Roman"/>
          <w:sz w:val="21"/>
          <w:szCs w:val="21"/>
          <w:highlight w:val="none"/>
          <w:u w:val="single"/>
          <w:lang w:val="en-US" w:eastAsia="zh-CN"/>
        </w:rPr>
        <w:t>05</w:t>
      </w:r>
      <w:r>
        <w:rPr>
          <w:rFonts w:hint="eastAsia" w:ascii="宋体" w:hAnsi="宋体" w:eastAsia="宋体" w:cs="Times New Roman"/>
          <w:sz w:val="21"/>
          <w:szCs w:val="21"/>
          <w:highlight w:val="none"/>
          <w:u w:val="single"/>
          <w:lang w:val="en-US" w:eastAsia="zh-CN"/>
        </w:rPr>
        <w:t>日</w:t>
      </w:r>
      <w:r>
        <w:rPr>
          <w:rFonts w:hint="eastAsia" w:ascii="宋体" w:hAnsi="宋体" w:cs="Times New Roman"/>
          <w:sz w:val="21"/>
          <w:szCs w:val="21"/>
          <w:highlight w:val="none"/>
          <w:u w:val="single"/>
          <w:lang w:val="en-US" w:eastAsia="zh-CN"/>
        </w:rPr>
        <w:t>15</w:t>
      </w:r>
      <w:r>
        <w:rPr>
          <w:rFonts w:hint="eastAsia" w:ascii="宋体" w:hAnsi="宋体" w:eastAsia="宋体" w:cs="Times New Roman"/>
          <w:sz w:val="21"/>
          <w:szCs w:val="21"/>
          <w:highlight w:val="none"/>
          <w:u w:val="single"/>
          <w:lang w:val="en-US" w:eastAsia="zh-CN"/>
        </w:rPr>
        <w:t>点</w:t>
      </w:r>
      <w:r>
        <w:rPr>
          <w:rFonts w:hint="eastAsia" w:ascii="宋体" w:hAnsi="宋体" w:cs="Times New Roman"/>
          <w:sz w:val="21"/>
          <w:szCs w:val="21"/>
          <w:highlight w:val="none"/>
          <w:u w:val="single"/>
          <w:lang w:val="en-US" w:eastAsia="zh-CN"/>
        </w:rPr>
        <w:t>00</w:t>
      </w:r>
      <w:r>
        <w:rPr>
          <w:rFonts w:hint="eastAsia" w:ascii="宋体" w:hAnsi="宋体" w:eastAsia="宋体" w:cs="Times New Roman"/>
          <w:sz w:val="21"/>
          <w:szCs w:val="21"/>
          <w:highlight w:val="none"/>
          <w:u w:val="single"/>
          <w:lang w:val="en-US" w:eastAsia="zh-CN"/>
        </w:rPr>
        <w:t>分</w:t>
      </w:r>
      <w:r>
        <w:rPr>
          <w:rFonts w:hint="eastAsia" w:ascii="宋体" w:hAnsi="宋体" w:eastAsia="宋体" w:cs="Times New Roman"/>
          <w:sz w:val="21"/>
          <w:szCs w:val="21"/>
          <w:highlight w:val="none"/>
          <w:lang w:val="en-US" w:eastAsia="zh-CN"/>
        </w:rPr>
        <w:t>（北京时间）前递交响应文件。</w:t>
      </w:r>
    </w:p>
    <w:p>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 xml:space="preserve">安徽融耀科技产业发展有限公司界首市田营科技园排水管网及雨水处理站建设工程施工阶段全过程跟踪审计服务 </w:t>
      </w:r>
    </w:p>
    <w:p>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磋商</w:t>
      </w:r>
    </w:p>
    <w:p>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工程投资规模：</w:t>
      </w:r>
      <w:r>
        <w:rPr>
          <w:rFonts w:hint="eastAsia" w:ascii="宋体" w:hAnsi="宋体" w:cs="Times New Roman"/>
          <w:sz w:val="21"/>
          <w:szCs w:val="21"/>
          <w:highlight w:val="none"/>
          <w:lang w:val="en-US" w:eastAsia="zh-CN"/>
        </w:rPr>
        <w:t>67984519.74元</w:t>
      </w:r>
      <w:r>
        <w:rPr>
          <w:rFonts w:hint="eastAsia" w:ascii="宋体" w:hAnsi="宋体" w:eastAsia="宋体" w:cs="Times New Roman"/>
          <w:sz w:val="21"/>
          <w:szCs w:val="21"/>
          <w:highlight w:val="none"/>
          <w:lang w:val="en-US" w:eastAsia="zh-CN"/>
        </w:rPr>
        <w:t xml:space="preserve">  </w:t>
      </w:r>
    </w:p>
    <w:p>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最高限价：皖价服〔2007〕86号文件规定</w:t>
      </w:r>
      <w:r>
        <w:rPr>
          <w:rFonts w:hint="eastAsia" w:ascii="宋体" w:hAnsi="宋体" w:cs="Times New Roman"/>
          <w:sz w:val="21"/>
          <w:szCs w:val="21"/>
          <w:highlight w:val="none"/>
          <w:lang w:val="en-US" w:eastAsia="zh-CN"/>
        </w:rPr>
        <w:t>标准的50%</w:t>
      </w:r>
    </w:p>
    <w:p>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采购需求：</w:t>
      </w:r>
      <w:r>
        <w:rPr>
          <w:rFonts w:hint="eastAsia" w:ascii="宋体" w:hAnsi="宋体" w:eastAsia="宋体" w:cs="Times New Roman"/>
          <w:sz w:val="21"/>
          <w:szCs w:val="21"/>
          <w:highlight w:val="none"/>
        </w:rPr>
        <w:t>拟采购</w:t>
      </w:r>
      <w:r>
        <w:rPr>
          <w:rFonts w:hint="eastAsia" w:ascii="宋体" w:hAnsi="宋体" w:eastAsia="宋体" w:cs="Times New Roman"/>
          <w:sz w:val="21"/>
          <w:szCs w:val="21"/>
          <w:highlight w:val="none"/>
          <w:lang w:val="en-US" w:eastAsia="zh-CN"/>
        </w:rPr>
        <w:t>施工阶段全过程跟踪</w:t>
      </w:r>
      <w:r>
        <w:rPr>
          <w:rFonts w:hint="eastAsia" w:ascii="宋体" w:hAnsi="宋体" w:eastAsia="宋体" w:cs="Times New Roman"/>
          <w:sz w:val="21"/>
          <w:szCs w:val="21"/>
          <w:highlight w:val="none"/>
        </w:rPr>
        <w:t>审计服务，服务内容包括但不限于：项目概算执行情况分析及反馈；现场工程变更造价测算、审核，工程变更办理程序检查监督；项目各类合同价款调整测算和审核、工程量核实；工程结算初审、配合结算终审工作；按时出具各种审计报表，并根据采购人要求提供工程必要的造价服务支持；完善项目的实施、审计等过程资料，同时对审计资料进行分类整理及汇总。</w:t>
      </w:r>
    </w:p>
    <w:p>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合同履行期限：自合同签订之日起至工程竣工结算审计完成，并配合后续复审、复查等相关工作。</w:t>
      </w:r>
    </w:p>
    <w:p>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本项目是否接受联合体：否。</w:t>
      </w:r>
    </w:p>
    <w:p>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28359013"/>
      <w:bookmarkStart w:id="12" w:name="_Toc28359090"/>
      <w:bookmarkStart w:id="13" w:name="_Toc27951"/>
      <w:bookmarkStart w:id="14" w:name="_Toc35393799"/>
      <w:bookmarkStart w:id="15" w:name="_Toc35393630"/>
      <w:bookmarkStart w:id="16" w:name="_Toc3808"/>
      <w:bookmarkStart w:id="17" w:name="_Toc12596"/>
      <w:bookmarkStart w:id="18" w:name="_Toc20475"/>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28359014"/>
      <w:bookmarkStart w:id="20" w:name="_Toc35393631"/>
      <w:bookmarkStart w:id="21" w:name="_Toc35393800"/>
      <w:bookmarkStart w:id="22" w:name="_Toc28359091"/>
      <w:r>
        <w:rPr>
          <w:rFonts w:hint="eastAsia" w:ascii="宋体" w:hAnsi="宋体" w:eastAsia="宋体" w:cs="Times New Roman"/>
          <w:sz w:val="21"/>
          <w:szCs w:val="21"/>
          <w:highlight w:val="none"/>
          <w:lang w:val="en-US" w:eastAsia="zh-CN"/>
        </w:rPr>
        <w:t>1、满足《中华人民共和国政府采购法》第二十二条规定；</w:t>
      </w:r>
    </w:p>
    <w:p>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pPr>
        <w:spacing w:line="360" w:lineRule="auto"/>
        <w:ind w:firstLine="420" w:firstLineChars="200"/>
        <w:jc w:val="left"/>
        <w:rPr>
          <w:rFonts w:hint="eastAsia" w:ascii="宋体" w:hAnsi="宋体" w:eastAsia="宋体" w:cs="Times New Roman"/>
          <w:b/>
          <w:i w:val="0"/>
          <w:kern w:val="2"/>
          <w:sz w:val="21"/>
          <w:szCs w:val="21"/>
          <w:lang w:val="en-US" w:eastAsia="zh-CN" w:bidi="ar-SA"/>
        </w:rPr>
      </w:pPr>
      <w:r>
        <w:rPr>
          <w:rFonts w:hint="eastAsia" w:ascii="宋体" w:hAnsi="宋体" w:eastAsia="宋体" w:cs="Times New Roman"/>
          <w:sz w:val="21"/>
          <w:szCs w:val="21"/>
          <w:highlight w:val="none"/>
          <w:lang w:val="en-US" w:eastAsia="zh-CN"/>
        </w:rPr>
        <w:t>3.本项目的特定资格要求：项目负责人</w:t>
      </w:r>
      <w:r>
        <w:rPr>
          <w:rFonts w:hint="eastAsia" w:ascii="宋体" w:hAnsi="宋体" w:cs="Times New Roman"/>
          <w:sz w:val="21"/>
          <w:szCs w:val="21"/>
          <w:highlight w:val="none"/>
          <w:lang w:val="en-US" w:eastAsia="zh-CN"/>
        </w:rPr>
        <w:t>须</w:t>
      </w:r>
      <w:r>
        <w:rPr>
          <w:rFonts w:hint="eastAsia" w:ascii="宋体" w:hAnsi="宋体" w:eastAsia="宋体" w:cs="Times New Roman"/>
          <w:sz w:val="21"/>
          <w:szCs w:val="21"/>
          <w:highlight w:val="none"/>
          <w:lang w:val="en-US" w:eastAsia="zh-CN"/>
        </w:rPr>
        <w:t>具有</w:t>
      </w:r>
      <w:r>
        <w:rPr>
          <w:rFonts w:hint="eastAsia" w:ascii="宋体" w:hAnsi="宋体" w:cs="Times New Roman"/>
          <w:sz w:val="21"/>
          <w:szCs w:val="21"/>
          <w:highlight w:val="none"/>
          <w:lang w:val="en-US" w:eastAsia="zh-CN"/>
        </w:rPr>
        <w:t>一</w:t>
      </w:r>
      <w:r>
        <w:rPr>
          <w:rFonts w:hint="eastAsia" w:ascii="宋体" w:hAnsi="宋体" w:eastAsia="宋体" w:cs="Times New Roman"/>
          <w:sz w:val="21"/>
          <w:szCs w:val="21"/>
          <w:highlight w:val="none"/>
          <w:lang w:val="en-US" w:eastAsia="zh-CN"/>
        </w:rPr>
        <w:t>级注册造价工程师执业资格。</w:t>
      </w:r>
    </w:p>
    <w:p>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28359015"/>
      <w:bookmarkStart w:id="24" w:name="_Toc35393801"/>
      <w:bookmarkStart w:id="25" w:name="_Toc28359092"/>
      <w:bookmarkStart w:id="26" w:name="_Toc35393632"/>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12</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05</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安徽融城高新技术产业发展集团有限公司会议室</w:t>
      </w:r>
    </w:p>
    <w:p>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27" w:name="_Toc35393802"/>
      <w:bookmarkStart w:id="28" w:name="_Toc6958"/>
      <w:bookmarkStart w:id="29" w:name="_Toc28359016"/>
      <w:bookmarkStart w:id="30" w:name="_Toc35393633"/>
      <w:bookmarkStart w:id="31" w:name="_Toc19480"/>
      <w:bookmarkStart w:id="32" w:name="_Toc27315"/>
      <w:bookmarkStart w:id="33" w:name="_Toc28359093"/>
      <w:bookmarkStart w:id="34" w:name="_Toc3942"/>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pPr>
        <w:pStyle w:val="5"/>
        <w:keepNext/>
        <w:keepLines/>
        <w:autoSpaceDE/>
        <w:autoSpaceDN/>
        <w:spacing w:before="260" w:after="260" w:line="360" w:lineRule="auto"/>
        <w:ind w:left="0" w:right="0"/>
        <w:jc w:val="both"/>
        <w:rPr>
          <w:rFonts w:hint="eastAsia" w:ascii="宋体" w:hAnsi="宋体" w:eastAsia="宋体"/>
          <w:sz w:val="21"/>
          <w:szCs w:val="21"/>
          <w:highlight w:val="none"/>
          <w:lang w:val="en-US" w:eastAsia="zh-CN"/>
        </w:rPr>
      </w:pPr>
      <w:bookmarkStart w:id="35" w:name="_Toc35393634"/>
      <w:bookmarkStart w:id="36" w:name="_Toc1837"/>
      <w:bookmarkStart w:id="37" w:name="_Toc35393803"/>
      <w:bookmarkStart w:id="38" w:name="_Toc28359094"/>
      <w:bookmarkStart w:id="39" w:name="_Toc9971"/>
      <w:bookmarkStart w:id="40" w:name="_Toc7568"/>
      <w:bookmarkStart w:id="41" w:name="_Toc28359017"/>
      <w:bookmarkStart w:id="42" w:name="_Toc19137"/>
      <w:r>
        <w:rPr>
          <w:rFonts w:hint="eastAsia" w:ascii="宋体" w:hAnsi="宋体" w:eastAsia="宋体"/>
          <w:b/>
          <w:i w:val="0"/>
          <w:kern w:val="2"/>
          <w:sz w:val="21"/>
          <w:szCs w:val="21"/>
          <w:highlight w:val="none"/>
          <w:lang w:val="en-US" w:bidi="ar-SA"/>
        </w:rPr>
        <w:t>六、</w:t>
      </w:r>
      <w:bookmarkEnd w:id="35"/>
      <w:bookmarkEnd w:id="36"/>
      <w:bookmarkEnd w:id="37"/>
      <w:bookmarkEnd w:id="38"/>
      <w:bookmarkEnd w:id="39"/>
      <w:bookmarkEnd w:id="40"/>
      <w:bookmarkEnd w:id="41"/>
      <w:bookmarkEnd w:id="42"/>
      <w:bookmarkStart w:id="78" w:name="_GoBack"/>
      <w:bookmarkEnd w:id="78"/>
      <w:bookmarkStart w:id="43" w:name="_Toc35393635"/>
      <w:bookmarkStart w:id="44" w:name="_Toc35393804"/>
      <w:bookmarkStart w:id="45" w:name="_Toc21544"/>
      <w:bookmarkStart w:id="46" w:name="_Toc27340"/>
      <w:bookmarkStart w:id="47" w:name="_Toc32077"/>
      <w:bookmarkStart w:id="48" w:name="_Toc6236"/>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35393636"/>
      <w:bookmarkStart w:id="50" w:name="_Toc28359095"/>
      <w:bookmarkStart w:id="51" w:name="_Toc28359018"/>
      <w:bookmarkStart w:id="52" w:name="_Toc35393805"/>
    </w:p>
    <w:p>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pPr>
        <w:pStyle w:val="5"/>
        <w:keepNext/>
        <w:keepLines/>
        <w:numPr>
          <w:ilvl w:val="0"/>
          <w:numId w:val="3"/>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26397"/>
      <w:bookmarkStart w:id="54" w:name="_Toc27515"/>
      <w:bookmarkStart w:id="55" w:name="_Toc3500"/>
      <w:bookmarkStart w:id="56" w:name="_Toc7284"/>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pPr>
        <w:spacing w:line="48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安徽融耀科技产业发展有限公司</w:t>
      </w:r>
      <w:r>
        <w:rPr>
          <w:rFonts w:hint="eastAsia" w:ascii="宋体" w:hAnsi="宋体" w:eastAsia="宋体"/>
          <w:sz w:val="21"/>
          <w:szCs w:val="21"/>
          <w:highlight w:val="none"/>
        </w:rPr>
        <w:t xml:space="preserve">    </w:t>
      </w:r>
    </w:p>
    <w:p>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界首市复兴路509号</w:t>
      </w:r>
    </w:p>
    <w:p>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赵</w:t>
      </w:r>
      <w:r>
        <w:rPr>
          <w:rFonts w:hint="eastAsia" w:ascii="宋体" w:hAnsi="宋体" w:eastAsia="宋体"/>
          <w:sz w:val="21"/>
          <w:szCs w:val="21"/>
          <w:highlight w:val="none"/>
          <w:lang w:val="en-US" w:eastAsia="zh-CN"/>
        </w:rPr>
        <w:t>先生</w:t>
      </w:r>
    </w:p>
    <w:p>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电话：15240199201</w:t>
      </w:r>
    </w:p>
    <w:p>
      <w:pPr>
        <w:spacing w:line="48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采购代理机构：</w:t>
      </w:r>
      <w:r>
        <w:rPr>
          <w:rFonts w:hint="eastAsia" w:ascii="宋体" w:hAnsi="宋体"/>
          <w:sz w:val="21"/>
          <w:szCs w:val="21"/>
          <w:highlight w:val="none"/>
          <w:lang w:eastAsia="zh-CN"/>
        </w:rPr>
        <w:t>安徽首建工程建设项目管理有限公司</w:t>
      </w:r>
      <w:r>
        <w:rPr>
          <w:rFonts w:hint="eastAsia" w:ascii="宋体" w:hAnsi="宋体" w:eastAsia="宋体"/>
          <w:sz w:val="21"/>
          <w:szCs w:val="21"/>
          <w:highlight w:val="none"/>
        </w:rPr>
        <w:t xml:space="preserve">  </w:t>
      </w:r>
    </w:p>
    <w:p>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界首市东城天安路36号7栋20</w:t>
      </w:r>
      <w:r>
        <w:rPr>
          <w:rFonts w:hint="eastAsia" w:ascii="宋体" w:hAnsi="宋体"/>
          <w:sz w:val="21"/>
          <w:szCs w:val="21"/>
          <w:highlight w:val="none"/>
          <w:lang w:val="en-US" w:eastAsia="zh-CN"/>
        </w:rPr>
        <w:t>3</w:t>
      </w:r>
      <w:r>
        <w:rPr>
          <w:rFonts w:hint="eastAsia" w:ascii="宋体" w:hAnsi="宋体" w:eastAsia="宋体"/>
          <w:sz w:val="21"/>
          <w:szCs w:val="21"/>
          <w:highlight w:val="none"/>
          <w:lang w:val="en-US" w:eastAsia="zh-CN"/>
        </w:rPr>
        <w:t>室</w:t>
      </w:r>
    </w:p>
    <w:p>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cs="Times New Roman"/>
          <w:sz w:val="21"/>
          <w:szCs w:val="21"/>
          <w:highlight w:val="none"/>
          <w:lang w:val="en-US" w:eastAsia="zh-CN"/>
        </w:rPr>
        <w:t>潘工</w:t>
      </w:r>
    </w:p>
    <w:p>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val="en-US" w:eastAsia="zh-CN"/>
        </w:rPr>
        <w:t>18210177109</w:t>
      </w:r>
    </w:p>
    <w:p>
      <w:pPr>
        <w:numPr>
          <w:ilvl w:val="0"/>
          <w:numId w:val="4"/>
        </w:numPr>
        <w:spacing w:line="48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sz w:val="21"/>
          <w:szCs w:val="21"/>
          <w:highlight w:val="none"/>
          <w:lang w:val="en-US" w:eastAsia="zh-CN"/>
        </w:rPr>
        <w:t>潘工</w:t>
      </w:r>
    </w:p>
    <w:p>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18210177109</w:t>
      </w:r>
      <w:r>
        <w:rPr>
          <w:rFonts w:hint="eastAsia" w:ascii="宋体" w:hAnsi="宋体" w:eastAsia="宋体"/>
          <w:sz w:val="21"/>
          <w:szCs w:val="21"/>
          <w:highlight w:val="none"/>
          <w:lang w:val="en-US" w:eastAsia="zh-CN"/>
        </w:rPr>
        <w:t xml:space="preserve">   </w:t>
      </w:r>
    </w:p>
    <w:p>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24537"/>
      <w:r>
        <w:rPr>
          <w:rFonts w:hint="eastAsia" w:ascii="宋体" w:hAnsi="宋体"/>
          <w:sz w:val="32"/>
          <w:szCs w:val="32"/>
          <w:highlight w:val="none"/>
        </w:rPr>
        <w:t>供应商须知</w:t>
      </w:r>
      <w:bookmarkEnd w:id="57"/>
    </w:p>
    <w:p>
      <w:pPr>
        <w:pStyle w:val="7"/>
        <w:rPr>
          <w:highlight w:val="none"/>
        </w:rPr>
      </w:pPr>
      <w:r>
        <w:rPr>
          <w:highlight w:val="none"/>
        </w:rPr>
        <w:t>一、供应商须知前附表</w:t>
      </w:r>
    </w:p>
    <w:p>
      <w:pPr>
        <w:pStyle w:val="10"/>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安徽融耀科技产业发展有限公司界首市田营科技园排水管网及雨水处理站建设工程</w:t>
            </w:r>
            <w:r>
              <w:rPr>
                <w:rFonts w:hint="eastAsia" w:ascii="宋体" w:hAnsi="宋体" w:cs="Times New Roman"/>
                <w:sz w:val="21"/>
                <w:szCs w:val="21"/>
                <w:highlight w:val="none"/>
                <w:lang w:val="en-US" w:eastAsia="zh-CN"/>
              </w:rPr>
              <w:t>施工阶段全过程跟踪</w:t>
            </w:r>
            <w:r>
              <w:rPr>
                <w:rFonts w:hint="eastAsia" w:ascii="宋体" w:hAnsi="宋体" w:cs="宋体"/>
                <w:sz w:val="21"/>
                <w:szCs w:val="21"/>
                <w:highlight w:val="none"/>
                <w:lang w:eastAsia="zh-CN"/>
              </w:rPr>
              <w:t xml:space="preserve">审计服务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bCs w:val="0"/>
                <w:sz w:val="21"/>
                <w:szCs w:val="21"/>
                <w:highlight w:val="none"/>
                <w:lang w:val="en-US" w:eastAsia="zh-CN"/>
              </w:rPr>
              <w:t>4000.00</w:t>
            </w:r>
            <w:r>
              <w:rPr>
                <w:rFonts w:hint="eastAsia" w:ascii="宋体" w:hAnsi="宋体" w:eastAsia="宋体" w:cs="宋体"/>
                <w:bCs/>
                <w:sz w:val="21"/>
                <w:szCs w:val="21"/>
                <w:highlight w:val="none"/>
                <w:lang w:eastAsia="zh-CN"/>
              </w:rPr>
              <w:t>元</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19"/>
                <w:rFonts w:hint="eastAsia" w:ascii="宋体" w:hAnsi="宋体" w:cs="宋体"/>
                <w:color w:val="000000"/>
                <w:sz w:val="21"/>
                <w:szCs w:val="21"/>
                <w:highlight w:val="none"/>
                <w:lang w:val="en-US" w:eastAsia="zh-CN"/>
              </w:rPr>
              <w:t>78901240</w:t>
            </w:r>
            <w:r>
              <w:rPr>
                <w:rStyle w:val="19"/>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18210177109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sz w:val="21"/>
                <w:szCs w:val="21"/>
                <w:highlight w:val="none"/>
              </w:rPr>
              <w:t>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8"/>
          </w:p>
          <w:p>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05</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pPr>
        <w:widowControl/>
        <w:spacing w:line="360" w:lineRule="auto"/>
        <w:jc w:val="left"/>
        <w:rPr>
          <w:rFonts w:hint="eastAsia" w:ascii="宋体" w:hAnsi="宋体" w:eastAsia="宋体" w:cs="宋体"/>
          <w:sz w:val="21"/>
          <w:szCs w:val="21"/>
          <w:highlight w:val="none"/>
        </w:rPr>
      </w:pPr>
    </w:p>
    <w:p>
      <w:pPr>
        <w:rPr>
          <w:highlight w:val="none"/>
        </w:rPr>
      </w:pPr>
      <w:r>
        <w:rPr>
          <w:highlight w:val="none"/>
        </w:rPr>
        <w:br w:type="page"/>
      </w:r>
    </w:p>
    <w:p>
      <w:pPr>
        <w:pStyle w:val="7"/>
        <w:rPr>
          <w:highlight w:val="none"/>
        </w:rPr>
      </w:pPr>
      <w:r>
        <w:rPr>
          <w:highlight w:val="none"/>
        </w:rPr>
        <w:t>二、供应商须知正文</w:t>
      </w:r>
    </w:p>
    <w:p>
      <w:pPr>
        <w:pStyle w:val="7"/>
        <w:numPr>
          <w:ilvl w:val="0"/>
          <w:numId w:val="6"/>
        </w:numPr>
        <w:rPr>
          <w:highlight w:val="none"/>
        </w:rPr>
      </w:pPr>
      <w:r>
        <w:rPr>
          <w:highlight w:val="none"/>
        </w:rPr>
        <w:t>适用范围</w:t>
      </w:r>
    </w:p>
    <w:p>
      <w:pPr>
        <w:pStyle w:val="27"/>
        <w:numPr>
          <w:ilvl w:val="1"/>
          <w:numId w:val="6"/>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pPr>
        <w:pStyle w:val="7"/>
        <w:numPr>
          <w:ilvl w:val="0"/>
          <w:numId w:val="6"/>
        </w:numPr>
        <w:rPr>
          <w:highlight w:val="none"/>
        </w:rPr>
      </w:pPr>
      <w:r>
        <w:rPr>
          <w:highlight w:val="none"/>
        </w:rPr>
        <w:t>定义</w:t>
      </w:r>
    </w:p>
    <w:p>
      <w:pPr>
        <w:pStyle w:val="27"/>
        <w:numPr>
          <w:ilvl w:val="1"/>
          <w:numId w:val="7"/>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pPr>
        <w:pStyle w:val="27"/>
        <w:numPr>
          <w:ilvl w:val="1"/>
          <w:numId w:val="7"/>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pPr>
        <w:pStyle w:val="27"/>
        <w:numPr>
          <w:ilvl w:val="1"/>
          <w:numId w:val="7"/>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pPr>
        <w:pStyle w:val="10"/>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pPr>
        <w:pStyle w:val="7"/>
        <w:numPr>
          <w:ilvl w:val="0"/>
          <w:numId w:val="8"/>
        </w:numPr>
        <w:rPr>
          <w:highlight w:val="none"/>
        </w:rPr>
      </w:pPr>
      <w:r>
        <w:rPr>
          <w:highlight w:val="none"/>
        </w:rPr>
        <w:t>采购人、采购代理机构及供应商</w:t>
      </w:r>
    </w:p>
    <w:p>
      <w:pPr>
        <w:pStyle w:val="27"/>
        <w:numPr>
          <w:ilvl w:val="1"/>
          <w:numId w:val="8"/>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pPr>
        <w:pStyle w:val="27"/>
        <w:numPr>
          <w:ilvl w:val="1"/>
          <w:numId w:val="8"/>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pPr>
        <w:pStyle w:val="27"/>
        <w:numPr>
          <w:ilvl w:val="1"/>
          <w:numId w:val="8"/>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pPr>
        <w:pStyle w:val="27"/>
        <w:numPr>
          <w:ilvl w:val="2"/>
          <w:numId w:val="8"/>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pPr>
        <w:pStyle w:val="27"/>
        <w:numPr>
          <w:ilvl w:val="2"/>
          <w:numId w:val="8"/>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pPr>
        <w:pStyle w:val="27"/>
        <w:numPr>
          <w:ilvl w:val="1"/>
          <w:numId w:val="8"/>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pPr>
        <w:pStyle w:val="27"/>
        <w:numPr>
          <w:ilvl w:val="1"/>
          <w:numId w:val="8"/>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pPr>
        <w:pStyle w:val="7"/>
        <w:numPr>
          <w:ilvl w:val="0"/>
          <w:numId w:val="8"/>
        </w:numPr>
        <w:rPr>
          <w:highlight w:val="none"/>
        </w:rPr>
      </w:pPr>
      <w:r>
        <w:rPr>
          <w:highlight w:val="none"/>
        </w:rPr>
        <w:t>资金来源</w:t>
      </w:r>
    </w:p>
    <w:p>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pPr>
        <w:pStyle w:val="27"/>
        <w:tabs>
          <w:tab w:val="left" w:pos="1090"/>
        </w:tabs>
        <w:spacing w:before="158" w:line="360" w:lineRule="auto"/>
        <w:ind w:left="671" w:right="714" w:firstLine="0"/>
        <w:rPr>
          <w:b/>
          <w:sz w:val="21"/>
          <w:szCs w:val="21"/>
          <w:highlight w:val="none"/>
        </w:rPr>
      </w:pPr>
      <w:r>
        <w:rPr>
          <w:rFonts w:hint="eastAsia"/>
          <w:sz w:val="21"/>
          <w:szCs w:val="21"/>
          <w:highlight w:val="none"/>
        </w:rPr>
        <w:t xml:space="preserve">4.2 </w:t>
      </w:r>
      <w:r>
        <w:rPr>
          <w:sz w:val="21"/>
          <w:szCs w:val="21"/>
          <w:highlight w:val="none"/>
        </w:rPr>
        <w:t>项目预算金额或分项（或分包）预算金额见磋商公告（磋商邀请）。</w:t>
      </w:r>
    </w:p>
    <w:p>
      <w:pPr>
        <w:pStyle w:val="7"/>
        <w:numPr>
          <w:ilvl w:val="0"/>
          <w:numId w:val="8"/>
        </w:numPr>
        <w:rPr>
          <w:highlight w:val="none"/>
        </w:rPr>
      </w:pPr>
      <w:r>
        <w:rPr>
          <w:highlight w:val="none"/>
        </w:rPr>
        <w:t>磋商费用</w:t>
      </w:r>
    </w:p>
    <w:p>
      <w:pPr>
        <w:pStyle w:val="10"/>
        <w:spacing w:before="1" w:line="360" w:lineRule="auto"/>
        <w:ind w:left="671" w:right="256"/>
        <w:rPr>
          <w:sz w:val="21"/>
          <w:szCs w:val="21"/>
          <w:highlight w:val="none"/>
        </w:rPr>
      </w:pPr>
      <w:r>
        <w:rPr>
          <w:sz w:val="21"/>
          <w:szCs w:val="21"/>
          <w:highlight w:val="none"/>
        </w:rPr>
        <w:t>不论磋商的结果如何，供应商应承担其所有与准备和参加磋商有关的费用。</w:t>
      </w:r>
    </w:p>
    <w:p>
      <w:pPr>
        <w:pStyle w:val="7"/>
        <w:numPr>
          <w:ilvl w:val="0"/>
          <w:numId w:val="8"/>
        </w:numPr>
        <w:rPr>
          <w:highlight w:val="none"/>
          <w:lang w:val="zh-CN"/>
        </w:rPr>
      </w:pPr>
      <w:r>
        <w:rPr>
          <w:highlight w:val="none"/>
          <w:lang w:val="zh-CN"/>
        </w:rPr>
        <w:t>磋商文件构成</w:t>
      </w:r>
    </w:p>
    <w:p>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磋商文件包括下列内容：</w:t>
      </w:r>
    </w:p>
    <w:p>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pPr>
        <w:pStyle w:val="27"/>
        <w:numPr>
          <w:ilvl w:val="1"/>
          <w:numId w:val="8"/>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pPr>
        <w:pStyle w:val="7"/>
        <w:numPr>
          <w:ilvl w:val="0"/>
          <w:numId w:val="8"/>
        </w:numPr>
        <w:rPr>
          <w:highlight w:val="none"/>
          <w:lang w:val="zh-CN"/>
        </w:rPr>
      </w:pPr>
      <w:r>
        <w:rPr>
          <w:highlight w:val="none"/>
          <w:lang w:val="zh-CN"/>
        </w:rPr>
        <w:t>磋商文件的澄清与修改</w:t>
      </w:r>
    </w:p>
    <w:p>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pPr>
        <w:pStyle w:val="7"/>
        <w:numPr>
          <w:ilvl w:val="0"/>
          <w:numId w:val="8"/>
        </w:numPr>
        <w:rPr>
          <w:highlight w:val="none"/>
          <w:lang w:val="zh-CN"/>
        </w:rPr>
      </w:pPr>
      <w:r>
        <w:rPr>
          <w:highlight w:val="none"/>
          <w:lang w:val="zh-CN"/>
        </w:rPr>
        <w:t>磋商范围及响应文件中标准和计量单位的使用</w:t>
      </w:r>
    </w:p>
    <w:p>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pPr>
        <w:pStyle w:val="7"/>
        <w:numPr>
          <w:ilvl w:val="0"/>
          <w:numId w:val="8"/>
        </w:numPr>
        <w:rPr>
          <w:highlight w:val="none"/>
        </w:rPr>
      </w:pPr>
      <w:r>
        <w:rPr>
          <w:highlight w:val="none"/>
        </w:rPr>
        <w:t>响应文件构成</w:t>
      </w:r>
    </w:p>
    <w:p>
      <w:pPr>
        <w:pStyle w:val="27"/>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pPr>
        <w:pStyle w:val="7"/>
        <w:numPr>
          <w:ilvl w:val="0"/>
          <w:numId w:val="9"/>
        </w:numPr>
        <w:rPr>
          <w:rFonts w:eastAsia="宋体" w:cs="Times New Roman"/>
          <w:highlight w:val="none"/>
        </w:rPr>
      </w:pPr>
      <w:r>
        <w:rPr>
          <w:rFonts w:eastAsia="宋体" w:cs="Times New Roman"/>
          <w:highlight w:val="none"/>
        </w:rPr>
        <w:t>证明标的的合格性和符合磋商文件规定的响应件</w:t>
      </w:r>
    </w:p>
    <w:p>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pPr>
        <w:pStyle w:val="27"/>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pPr>
        <w:pStyle w:val="7"/>
        <w:numPr>
          <w:ilvl w:val="0"/>
          <w:numId w:val="10"/>
        </w:numPr>
        <w:rPr>
          <w:highlight w:val="none"/>
        </w:rPr>
      </w:pPr>
      <w:r>
        <w:rPr>
          <w:highlight w:val="none"/>
        </w:rPr>
        <w:t>报价</w:t>
      </w:r>
    </w:p>
    <w:p>
      <w:pPr>
        <w:pStyle w:val="27"/>
        <w:numPr>
          <w:ilvl w:val="1"/>
          <w:numId w:val="10"/>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pPr>
        <w:pStyle w:val="27"/>
        <w:numPr>
          <w:ilvl w:val="1"/>
          <w:numId w:val="10"/>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pPr>
        <w:pStyle w:val="27"/>
        <w:numPr>
          <w:ilvl w:val="1"/>
          <w:numId w:val="10"/>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pPr>
        <w:pStyle w:val="27"/>
        <w:numPr>
          <w:ilvl w:val="1"/>
          <w:numId w:val="10"/>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pPr>
        <w:pStyle w:val="10"/>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pPr>
        <w:pStyle w:val="27"/>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pPr>
        <w:pStyle w:val="7"/>
        <w:numPr>
          <w:ilvl w:val="0"/>
          <w:numId w:val="10"/>
        </w:numPr>
        <w:rPr>
          <w:rFonts w:eastAsia="宋体" w:cs="Times New Roman"/>
          <w:highlight w:val="none"/>
        </w:rPr>
      </w:pPr>
      <w:r>
        <w:rPr>
          <w:rFonts w:eastAsia="宋体" w:cs="Times New Roman"/>
          <w:highlight w:val="none"/>
        </w:rPr>
        <w:t>磋商保证金</w:t>
      </w:r>
    </w:p>
    <w:p>
      <w:pPr>
        <w:pStyle w:val="27"/>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pPr>
        <w:pStyle w:val="7"/>
        <w:numPr>
          <w:ilvl w:val="0"/>
          <w:numId w:val="10"/>
        </w:numPr>
        <w:rPr>
          <w:rFonts w:eastAsia="宋体" w:cs="Times New Roman"/>
          <w:highlight w:val="none"/>
        </w:rPr>
      </w:pPr>
      <w:r>
        <w:rPr>
          <w:rFonts w:eastAsia="宋体" w:cs="Times New Roman"/>
          <w:highlight w:val="none"/>
        </w:rPr>
        <w:t>磋商有效期</w:t>
      </w:r>
    </w:p>
    <w:p>
      <w:pPr>
        <w:pStyle w:val="27"/>
        <w:numPr>
          <w:ilvl w:val="1"/>
          <w:numId w:val="11"/>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pPr>
        <w:pStyle w:val="27"/>
        <w:numPr>
          <w:ilvl w:val="1"/>
          <w:numId w:val="11"/>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pPr>
        <w:pStyle w:val="27"/>
        <w:numPr>
          <w:ilvl w:val="1"/>
          <w:numId w:val="11"/>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pPr>
        <w:pStyle w:val="7"/>
        <w:numPr>
          <w:ilvl w:val="0"/>
          <w:numId w:val="12"/>
        </w:numPr>
        <w:rPr>
          <w:highlight w:val="none"/>
        </w:rPr>
      </w:pPr>
      <w:r>
        <w:rPr>
          <w:highlight w:val="none"/>
        </w:rPr>
        <w:t>响应文件的制作</w:t>
      </w:r>
    </w:p>
    <w:p>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pPr>
        <w:pStyle w:val="7"/>
        <w:numPr>
          <w:ilvl w:val="0"/>
          <w:numId w:val="12"/>
        </w:numPr>
        <w:rPr>
          <w:highlight w:val="none"/>
        </w:rPr>
      </w:pPr>
      <w:r>
        <w:rPr>
          <w:highlight w:val="none"/>
        </w:rPr>
        <w:t>响应文件提交截止时间</w:t>
      </w:r>
    </w:p>
    <w:p>
      <w:pPr>
        <w:pStyle w:val="27"/>
        <w:numPr>
          <w:ilvl w:val="1"/>
          <w:numId w:val="12"/>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pPr>
        <w:pStyle w:val="7"/>
        <w:numPr>
          <w:ilvl w:val="0"/>
          <w:numId w:val="12"/>
        </w:numPr>
        <w:rPr>
          <w:highlight w:val="none"/>
        </w:rPr>
      </w:pPr>
      <w:r>
        <w:rPr>
          <w:highlight w:val="none"/>
        </w:rPr>
        <w:t>响应文件的提交、修改与撤回</w:t>
      </w:r>
    </w:p>
    <w:p>
      <w:pPr>
        <w:pStyle w:val="27"/>
        <w:numPr>
          <w:ilvl w:val="1"/>
          <w:numId w:val="12"/>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pPr>
        <w:pStyle w:val="27"/>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pPr>
        <w:pStyle w:val="27"/>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pPr>
        <w:pStyle w:val="7"/>
        <w:numPr>
          <w:ilvl w:val="0"/>
          <w:numId w:val="12"/>
        </w:numPr>
        <w:rPr>
          <w:highlight w:val="none"/>
        </w:rPr>
      </w:pPr>
      <w:r>
        <w:rPr>
          <w:highlight w:val="none"/>
        </w:rPr>
        <w:t>磋商小组</w:t>
      </w:r>
    </w:p>
    <w:p>
      <w:pPr>
        <w:pStyle w:val="27"/>
        <w:numPr>
          <w:ilvl w:val="1"/>
          <w:numId w:val="12"/>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pPr>
        <w:pStyle w:val="27"/>
        <w:numPr>
          <w:ilvl w:val="1"/>
          <w:numId w:val="12"/>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pPr>
        <w:pStyle w:val="7"/>
        <w:numPr>
          <w:ilvl w:val="0"/>
          <w:numId w:val="12"/>
        </w:numPr>
        <w:rPr>
          <w:highlight w:val="none"/>
        </w:rPr>
      </w:pPr>
      <w:r>
        <w:rPr>
          <w:highlight w:val="none"/>
        </w:rPr>
        <w:t>响应文件的评审与磋商</w:t>
      </w:r>
    </w:p>
    <w:p>
      <w:pPr>
        <w:pStyle w:val="27"/>
        <w:numPr>
          <w:ilvl w:val="1"/>
          <w:numId w:val="12"/>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pPr>
        <w:pStyle w:val="27"/>
        <w:numPr>
          <w:ilvl w:val="1"/>
          <w:numId w:val="12"/>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pPr>
        <w:pStyle w:val="10"/>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pPr>
        <w:pStyle w:val="27"/>
        <w:numPr>
          <w:ilvl w:val="1"/>
          <w:numId w:val="12"/>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pPr>
        <w:pStyle w:val="27"/>
        <w:numPr>
          <w:ilvl w:val="2"/>
          <w:numId w:val="12"/>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pPr>
        <w:pStyle w:val="10"/>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pPr>
        <w:pStyle w:val="27"/>
        <w:numPr>
          <w:ilvl w:val="2"/>
          <w:numId w:val="12"/>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pPr>
        <w:pStyle w:val="27"/>
        <w:numPr>
          <w:ilvl w:val="2"/>
          <w:numId w:val="12"/>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pPr>
        <w:pStyle w:val="27"/>
        <w:numPr>
          <w:ilvl w:val="2"/>
          <w:numId w:val="12"/>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pPr>
        <w:pStyle w:val="27"/>
        <w:numPr>
          <w:ilvl w:val="1"/>
          <w:numId w:val="12"/>
        </w:numPr>
        <w:tabs>
          <w:tab w:val="left" w:pos="1210"/>
        </w:tabs>
        <w:spacing w:line="360" w:lineRule="auto"/>
        <w:ind w:left="1209" w:hanging="541"/>
        <w:jc w:val="both"/>
        <w:rPr>
          <w:sz w:val="21"/>
          <w:szCs w:val="21"/>
          <w:highlight w:val="none"/>
        </w:rPr>
      </w:pPr>
      <w:r>
        <w:rPr>
          <w:sz w:val="21"/>
          <w:szCs w:val="21"/>
          <w:highlight w:val="none"/>
        </w:rPr>
        <w:t>相关说明。</w:t>
      </w:r>
    </w:p>
    <w:p>
      <w:pPr>
        <w:pStyle w:val="27"/>
        <w:numPr>
          <w:ilvl w:val="2"/>
          <w:numId w:val="12"/>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pPr>
        <w:pStyle w:val="27"/>
        <w:numPr>
          <w:ilvl w:val="2"/>
          <w:numId w:val="12"/>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pPr>
        <w:pStyle w:val="27"/>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pStyle w:val="27"/>
        <w:numPr>
          <w:ilvl w:val="2"/>
          <w:numId w:val="12"/>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pPr>
        <w:pStyle w:val="27"/>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pPr>
        <w:pStyle w:val="27"/>
        <w:numPr>
          <w:ilvl w:val="1"/>
          <w:numId w:val="12"/>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pPr>
        <w:pStyle w:val="7"/>
        <w:numPr>
          <w:ilvl w:val="0"/>
          <w:numId w:val="12"/>
        </w:numPr>
        <w:rPr>
          <w:highlight w:val="none"/>
        </w:rPr>
      </w:pPr>
      <w:r>
        <w:rPr>
          <w:highlight w:val="none"/>
        </w:rPr>
        <w:t>终止竞争性磋商</w:t>
      </w:r>
    </w:p>
    <w:p>
      <w:pPr>
        <w:pStyle w:val="27"/>
        <w:numPr>
          <w:ilvl w:val="1"/>
          <w:numId w:val="12"/>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pPr>
        <w:pStyle w:val="27"/>
        <w:numPr>
          <w:ilvl w:val="0"/>
          <w:numId w:val="13"/>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pPr>
        <w:pStyle w:val="27"/>
        <w:numPr>
          <w:ilvl w:val="0"/>
          <w:numId w:val="13"/>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pPr>
        <w:pStyle w:val="27"/>
        <w:numPr>
          <w:ilvl w:val="0"/>
          <w:numId w:val="13"/>
        </w:numPr>
        <w:tabs>
          <w:tab w:val="left" w:pos="1271"/>
        </w:tabs>
        <w:spacing w:before="158" w:line="360" w:lineRule="auto"/>
        <w:ind w:hanging="602"/>
        <w:rPr>
          <w:sz w:val="21"/>
          <w:szCs w:val="21"/>
          <w:highlight w:val="none"/>
        </w:rPr>
      </w:pPr>
      <w:r>
        <w:rPr>
          <w:sz w:val="21"/>
          <w:szCs w:val="21"/>
          <w:highlight w:val="none"/>
        </w:rPr>
        <w:t>因重大变故，采购任务取消的；</w:t>
      </w:r>
    </w:p>
    <w:p>
      <w:pPr>
        <w:pStyle w:val="27"/>
        <w:numPr>
          <w:ilvl w:val="0"/>
          <w:numId w:val="13"/>
        </w:numPr>
        <w:tabs>
          <w:tab w:val="left" w:pos="1271"/>
        </w:tabs>
        <w:spacing w:before="160" w:line="360" w:lineRule="auto"/>
        <w:ind w:hanging="602"/>
        <w:rPr>
          <w:sz w:val="21"/>
          <w:szCs w:val="21"/>
          <w:highlight w:val="none"/>
        </w:rPr>
      </w:pPr>
      <w:r>
        <w:rPr>
          <w:sz w:val="21"/>
          <w:szCs w:val="21"/>
          <w:highlight w:val="none"/>
        </w:rPr>
        <w:t>法律法规规定的其他情形。</w:t>
      </w:r>
    </w:p>
    <w:p>
      <w:pPr>
        <w:pStyle w:val="7"/>
        <w:numPr>
          <w:ilvl w:val="0"/>
          <w:numId w:val="12"/>
        </w:numPr>
        <w:rPr>
          <w:highlight w:val="none"/>
        </w:rPr>
      </w:pPr>
      <w:r>
        <w:rPr>
          <w:highlight w:val="none"/>
        </w:rPr>
        <w:t>响应文件的澄清、说明或更正</w:t>
      </w:r>
    </w:p>
    <w:p>
      <w:pPr>
        <w:pStyle w:val="27"/>
        <w:numPr>
          <w:ilvl w:val="1"/>
          <w:numId w:val="12"/>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27"/>
        <w:numPr>
          <w:ilvl w:val="1"/>
          <w:numId w:val="12"/>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pPr>
        <w:pStyle w:val="7"/>
        <w:numPr>
          <w:ilvl w:val="0"/>
          <w:numId w:val="12"/>
        </w:numPr>
        <w:rPr>
          <w:highlight w:val="none"/>
        </w:rPr>
      </w:pPr>
      <w:r>
        <w:rPr>
          <w:highlight w:val="none"/>
        </w:rPr>
        <w:t>最后报价</w:t>
      </w:r>
    </w:p>
    <w:p>
      <w:pPr>
        <w:pStyle w:val="27"/>
        <w:numPr>
          <w:ilvl w:val="1"/>
          <w:numId w:val="12"/>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pPr>
        <w:pStyle w:val="7"/>
        <w:numPr>
          <w:ilvl w:val="0"/>
          <w:numId w:val="12"/>
        </w:numPr>
        <w:rPr>
          <w:highlight w:val="none"/>
        </w:rPr>
      </w:pPr>
      <w:r>
        <w:rPr>
          <w:highlight w:val="none"/>
        </w:rPr>
        <w:t>成交候选供应商的推荐原则及标准</w:t>
      </w:r>
    </w:p>
    <w:p>
      <w:pPr>
        <w:pStyle w:val="27"/>
        <w:numPr>
          <w:ilvl w:val="1"/>
          <w:numId w:val="12"/>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pPr>
        <w:pStyle w:val="7"/>
        <w:numPr>
          <w:ilvl w:val="0"/>
          <w:numId w:val="12"/>
        </w:numPr>
        <w:rPr>
          <w:highlight w:val="none"/>
        </w:rPr>
      </w:pPr>
      <w:r>
        <w:rPr>
          <w:highlight w:val="none"/>
        </w:rPr>
        <w:t>确定成交候选供应商和成交供应商</w:t>
      </w:r>
    </w:p>
    <w:p>
      <w:pPr>
        <w:pStyle w:val="27"/>
        <w:numPr>
          <w:ilvl w:val="1"/>
          <w:numId w:val="12"/>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pPr>
        <w:pStyle w:val="7"/>
        <w:numPr>
          <w:ilvl w:val="0"/>
          <w:numId w:val="12"/>
        </w:numPr>
        <w:rPr>
          <w:highlight w:val="none"/>
        </w:rPr>
      </w:pPr>
      <w:r>
        <w:rPr>
          <w:highlight w:val="none"/>
        </w:rPr>
        <w:t>编写评审报告</w:t>
      </w:r>
    </w:p>
    <w:p>
      <w:pPr>
        <w:pStyle w:val="27"/>
        <w:numPr>
          <w:ilvl w:val="1"/>
          <w:numId w:val="12"/>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pStyle w:val="7"/>
        <w:numPr>
          <w:ilvl w:val="0"/>
          <w:numId w:val="12"/>
        </w:numPr>
        <w:rPr>
          <w:highlight w:val="none"/>
        </w:rPr>
      </w:pPr>
      <w:r>
        <w:rPr>
          <w:highlight w:val="none"/>
        </w:rPr>
        <w:t>保密要求</w:t>
      </w:r>
    </w:p>
    <w:p>
      <w:pPr>
        <w:pStyle w:val="27"/>
        <w:numPr>
          <w:ilvl w:val="1"/>
          <w:numId w:val="12"/>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pPr>
        <w:pStyle w:val="27"/>
        <w:numPr>
          <w:ilvl w:val="1"/>
          <w:numId w:val="12"/>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pPr>
        <w:pStyle w:val="7"/>
        <w:numPr>
          <w:ilvl w:val="0"/>
          <w:numId w:val="12"/>
        </w:numPr>
        <w:rPr>
          <w:highlight w:val="none"/>
        </w:rPr>
      </w:pPr>
      <w:r>
        <w:rPr>
          <w:highlight w:val="none"/>
        </w:rPr>
        <w:t>成交结果公告</w:t>
      </w:r>
    </w:p>
    <w:p>
      <w:pPr>
        <w:pStyle w:val="27"/>
        <w:numPr>
          <w:ilvl w:val="1"/>
          <w:numId w:val="12"/>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pPr>
        <w:pStyle w:val="27"/>
        <w:numPr>
          <w:ilvl w:val="1"/>
          <w:numId w:val="12"/>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pPr>
        <w:pStyle w:val="27"/>
        <w:tabs>
          <w:tab w:val="left" w:pos="1272"/>
        </w:tabs>
        <w:spacing w:before="158" w:line="360" w:lineRule="auto"/>
        <w:ind w:left="668" w:right="368" w:firstLine="0"/>
        <w:rPr>
          <w:b/>
          <w:sz w:val="21"/>
          <w:szCs w:val="21"/>
          <w:highlight w:val="none"/>
        </w:rPr>
      </w:pPr>
      <w:r>
        <w:rPr>
          <w:rFonts w:hint="eastAsia"/>
          <w:b/>
          <w:sz w:val="21"/>
          <w:szCs w:val="21"/>
          <w:highlight w:val="none"/>
        </w:rPr>
        <w:t>注：</w:t>
      </w:r>
    </w:p>
    <w:p>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pPr>
        <w:pStyle w:val="7"/>
        <w:numPr>
          <w:ilvl w:val="0"/>
          <w:numId w:val="12"/>
        </w:numPr>
        <w:rPr>
          <w:highlight w:val="none"/>
        </w:rPr>
      </w:pPr>
      <w:r>
        <w:rPr>
          <w:highlight w:val="none"/>
        </w:rPr>
        <w:t>成交通知书</w:t>
      </w:r>
    </w:p>
    <w:p>
      <w:pPr>
        <w:pStyle w:val="27"/>
        <w:numPr>
          <w:ilvl w:val="1"/>
          <w:numId w:val="12"/>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pPr>
        <w:pStyle w:val="27"/>
        <w:numPr>
          <w:ilvl w:val="1"/>
          <w:numId w:val="12"/>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pPr>
        <w:pStyle w:val="27"/>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pPr>
        <w:pStyle w:val="7"/>
        <w:numPr>
          <w:ilvl w:val="0"/>
          <w:numId w:val="12"/>
        </w:numPr>
        <w:rPr>
          <w:highlight w:val="none"/>
        </w:rPr>
      </w:pPr>
      <w:r>
        <w:rPr>
          <w:highlight w:val="none"/>
        </w:rPr>
        <w:t>告知磋商结果</w:t>
      </w:r>
    </w:p>
    <w:p>
      <w:pPr>
        <w:pStyle w:val="27"/>
        <w:numPr>
          <w:ilvl w:val="1"/>
          <w:numId w:val="14"/>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pPr>
        <w:pStyle w:val="27"/>
        <w:tabs>
          <w:tab w:val="left" w:pos="1255"/>
        </w:tabs>
        <w:spacing w:line="360" w:lineRule="auto"/>
        <w:ind w:left="714" w:right="1629" w:firstLine="0"/>
        <w:rPr>
          <w:spacing w:val="-1"/>
          <w:sz w:val="21"/>
          <w:szCs w:val="21"/>
          <w:highlight w:val="none"/>
        </w:rPr>
      </w:pPr>
      <w:r>
        <w:rPr>
          <w:rFonts w:hint="eastAsia"/>
          <w:spacing w:val="-1"/>
          <w:sz w:val="21"/>
          <w:szCs w:val="21"/>
          <w:highlight w:val="none"/>
        </w:rPr>
        <w:t xml:space="preserve">29.2 </w:t>
      </w:r>
      <w:r>
        <w:rPr>
          <w:spacing w:val="-1"/>
          <w:sz w:val="21"/>
          <w:szCs w:val="21"/>
          <w:highlight w:val="none"/>
        </w:rPr>
        <w:t>采购代理机构对未成交的供应商不做未成交原因的解释。</w:t>
      </w:r>
    </w:p>
    <w:p>
      <w:pPr>
        <w:pStyle w:val="7"/>
        <w:numPr>
          <w:ilvl w:val="0"/>
          <w:numId w:val="12"/>
        </w:numPr>
        <w:rPr>
          <w:highlight w:val="none"/>
        </w:rPr>
      </w:pPr>
      <w:r>
        <w:rPr>
          <w:highlight w:val="none"/>
        </w:rPr>
        <w:t>履约保证金</w:t>
      </w:r>
    </w:p>
    <w:p>
      <w:pPr>
        <w:pStyle w:val="27"/>
        <w:numPr>
          <w:ilvl w:val="1"/>
          <w:numId w:val="15"/>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pPr>
        <w:pStyle w:val="27"/>
        <w:numPr>
          <w:ilvl w:val="1"/>
          <w:numId w:val="15"/>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pPr>
        <w:pStyle w:val="7"/>
        <w:numPr>
          <w:ilvl w:val="0"/>
          <w:numId w:val="16"/>
        </w:numPr>
        <w:rPr>
          <w:highlight w:val="none"/>
        </w:rPr>
      </w:pPr>
      <w:r>
        <w:rPr>
          <w:highlight w:val="none"/>
        </w:rPr>
        <w:t>成交服务费</w:t>
      </w:r>
    </w:p>
    <w:p>
      <w:pPr>
        <w:pStyle w:val="27"/>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pPr>
        <w:pStyle w:val="7"/>
        <w:numPr>
          <w:ilvl w:val="0"/>
          <w:numId w:val="16"/>
        </w:numPr>
        <w:rPr>
          <w:highlight w:val="none"/>
        </w:rPr>
      </w:pPr>
      <w:r>
        <w:rPr>
          <w:highlight w:val="none"/>
        </w:rPr>
        <w:t>签订合同</w:t>
      </w:r>
    </w:p>
    <w:p>
      <w:pPr>
        <w:pStyle w:val="27"/>
        <w:numPr>
          <w:ilvl w:val="1"/>
          <w:numId w:val="17"/>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pPr>
        <w:pStyle w:val="27"/>
        <w:numPr>
          <w:ilvl w:val="1"/>
          <w:numId w:val="17"/>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pPr>
        <w:pStyle w:val="27"/>
        <w:numPr>
          <w:ilvl w:val="1"/>
          <w:numId w:val="17"/>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pPr>
        <w:pStyle w:val="7"/>
        <w:numPr>
          <w:ilvl w:val="0"/>
          <w:numId w:val="18"/>
        </w:numPr>
        <w:rPr>
          <w:highlight w:val="none"/>
        </w:rPr>
      </w:pPr>
      <w:r>
        <w:rPr>
          <w:highlight w:val="none"/>
        </w:rPr>
        <w:t>廉洁自律规定</w:t>
      </w:r>
    </w:p>
    <w:p>
      <w:pPr>
        <w:pStyle w:val="27"/>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pPr>
        <w:pStyle w:val="27"/>
        <w:tabs>
          <w:tab w:val="left" w:pos="1306"/>
        </w:tabs>
        <w:spacing w:before="5" w:line="360" w:lineRule="auto"/>
        <w:ind w:left="703" w:right="374" w:firstLine="416" w:firstLineChars="200"/>
        <w:jc w:val="both"/>
        <w:rPr>
          <w:rFonts w:ascii="宋体" w:hAnsi="宋体"/>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highlight w:val="none"/>
        </w:rPr>
        <w:t>、现金、有价证券等，不得向采购人或者供应商报销应当由个人承担的费用。</w:t>
      </w:r>
    </w:p>
    <w:p>
      <w:pPr>
        <w:pStyle w:val="7"/>
        <w:numPr>
          <w:ilvl w:val="0"/>
          <w:numId w:val="18"/>
        </w:numPr>
        <w:rPr>
          <w:highlight w:val="none"/>
        </w:rPr>
      </w:pPr>
      <w:r>
        <w:rPr>
          <w:highlight w:val="none"/>
        </w:rPr>
        <w:t>质疑的提出与接收</w:t>
      </w:r>
    </w:p>
    <w:p>
      <w:pPr>
        <w:pStyle w:val="27"/>
        <w:numPr>
          <w:ilvl w:val="1"/>
          <w:numId w:val="18"/>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pPr>
        <w:pStyle w:val="27"/>
        <w:numPr>
          <w:ilvl w:val="1"/>
          <w:numId w:val="18"/>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pPr>
        <w:pStyle w:val="7"/>
        <w:numPr>
          <w:ilvl w:val="0"/>
          <w:numId w:val="18"/>
        </w:numPr>
        <w:rPr>
          <w:highlight w:val="none"/>
        </w:rPr>
      </w:pPr>
      <w:r>
        <w:rPr>
          <w:highlight w:val="none"/>
        </w:rPr>
        <w:t>需要补充的其他内容</w:t>
      </w:r>
    </w:p>
    <w:p>
      <w:pPr>
        <w:pStyle w:val="10"/>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pPr>
        <w:pStyle w:val="27"/>
        <w:tabs>
          <w:tab w:val="left" w:pos="1330"/>
        </w:tabs>
        <w:spacing w:before="161" w:line="360" w:lineRule="auto"/>
        <w:ind w:left="1329" w:firstLine="0"/>
        <w:jc w:val="both"/>
        <w:rPr>
          <w:sz w:val="21"/>
          <w:szCs w:val="21"/>
          <w:highlight w:val="none"/>
        </w:rPr>
      </w:pPr>
    </w:p>
    <w:p>
      <w:pPr>
        <w:spacing w:line="360" w:lineRule="auto"/>
        <w:rPr>
          <w:rFonts w:ascii="宋体" w:hAnsi="宋体"/>
          <w:highlight w:val="none"/>
        </w:rPr>
      </w:pPr>
    </w:p>
    <w:p>
      <w:pPr>
        <w:widowControl/>
        <w:spacing w:line="360" w:lineRule="auto"/>
        <w:jc w:val="left"/>
        <w:rPr>
          <w:rFonts w:ascii="宋体" w:hAnsi="宋体"/>
          <w:highlight w:val="none"/>
        </w:rPr>
      </w:pPr>
      <w:r>
        <w:rPr>
          <w:rFonts w:ascii="宋体" w:hAnsi="宋体"/>
          <w:highlight w:val="none"/>
        </w:rPr>
        <w:br w:type="page"/>
      </w:r>
    </w:p>
    <w:p>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24417"/>
      <w:r>
        <w:rPr>
          <w:rFonts w:hint="eastAsia" w:ascii="宋体" w:hAnsi="宋体"/>
          <w:sz w:val="32"/>
          <w:szCs w:val="32"/>
          <w:highlight w:val="none"/>
        </w:rPr>
        <w:t>采购需求</w:t>
      </w:r>
      <w:bookmarkEnd w:id="61"/>
    </w:p>
    <w:p>
      <w:pPr>
        <w:pStyle w:val="7"/>
        <w:rPr>
          <w:highlight w:val="none"/>
        </w:rPr>
      </w:pPr>
      <w:r>
        <w:rPr>
          <w:highlight w:val="none"/>
        </w:rPr>
        <w:t>前注：</w:t>
      </w:r>
    </w:p>
    <w:p>
      <w:pPr>
        <w:pStyle w:val="10"/>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pPr>
        <w:pStyle w:val="7"/>
        <w:rPr>
          <w:rFonts w:hint="eastAsia"/>
          <w:sz w:val="24"/>
          <w:szCs w:val="24"/>
          <w:highlight w:val="none"/>
        </w:rPr>
      </w:pPr>
      <w:r>
        <w:rPr>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pPr>
              <w:pStyle w:val="25"/>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pPr>
              <w:pStyle w:val="25"/>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pPr>
              <w:pStyle w:val="25"/>
              <w:spacing w:before="19" w:line="360" w:lineRule="auto"/>
              <w:ind w:left="1769"/>
              <w:rPr>
                <w:b/>
                <w:sz w:val="21"/>
                <w:szCs w:val="21"/>
                <w:highlight w:val="none"/>
                <w:lang w:eastAsia="en-US"/>
              </w:rPr>
            </w:pPr>
            <w:r>
              <w:rPr>
                <w:b/>
                <w:sz w:val="21"/>
                <w:szCs w:val="21"/>
                <w:highlight w:val="none"/>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pPr>
              <w:pStyle w:val="25"/>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pPr>
              <w:keepNext w:val="0"/>
              <w:keepLines w:val="0"/>
              <w:pageBreakBefore w:val="0"/>
              <w:widowControl/>
              <w:suppressLineNumbers w:val="0"/>
              <w:kinsoku/>
              <w:wordWrap/>
              <w:overflowPunct/>
              <w:topLinePunct w:val="0"/>
              <w:bidi w:val="0"/>
              <w:adjustRightInd/>
              <w:snapToGrid/>
              <w:ind w:left="105" w:leftChars="50" w:right="283"/>
              <w:jc w:val="left"/>
              <w:textAlignment w:val="auto"/>
              <w:rPr>
                <w:rFonts w:hint="default"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按月支付，与施工进度同比例支付审计价款，支付比例为当月审定工程价款的80%*中标费率，竣工验收后付至审计服务费的90%，审计报告出具后1个月内付至审计服务费的100%。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pPr>
              <w:pStyle w:val="25"/>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pPr>
              <w:pStyle w:val="25"/>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pPr>
              <w:pStyle w:val="25"/>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pPr>
              <w:pStyle w:val="25"/>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pPr>
              <w:pStyle w:val="25"/>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自合同签订之日起至工程竣工结算审计完成，并配合后续复审、复查等相关工作。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03" w:type="dxa"/>
            <w:shd w:val="clear" w:color="auto" w:fill="auto"/>
            <w:vAlign w:val="center"/>
          </w:tcPr>
          <w:p>
            <w:pPr>
              <w:pStyle w:val="25"/>
              <w:spacing w:before="95" w:line="360" w:lineRule="auto"/>
              <w:ind w:left="9"/>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2026" w:type="dxa"/>
            <w:shd w:val="clear" w:color="auto" w:fill="auto"/>
            <w:vAlign w:val="center"/>
          </w:tcPr>
          <w:p>
            <w:pPr>
              <w:pStyle w:val="25"/>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服务质量</w:t>
            </w:r>
          </w:p>
        </w:tc>
        <w:tc>
          <w:tcPr>
            <w:tcW w:w="5468" w:type="dxa"/>
            <w:shd w:val="clear" w:color="auto" w:fill="auto"/>
            <w:vAlign w:val="center"/>
          </w:tcPr>
          <w:p>
            <w:pPr>
              <w:pStyle w:val="25"/>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受委托完成的项目成果满足招标人及国家、省、阜阳市现行有关文件要求，符合国家相关标准规范。</w:t>
            </w:r>
          </w:p>
        </w:tc>
      </w:tr>
    </w:tbl>
    <w:p>
      <w:pPr>
        <w:bidi w:val="0"/>
        <w:rPr>
          <w:rFonts w:hint="eastAsia"/>
        </w:rPr>
      </w:pPr>
    </w:p>
    <w:p>
      <w:pPr>
        <w:pStyle w:val="7"/>
        <w:numPr>
          <w:ilvl w:val="0"/>
          <w:numId w:val="19"/>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安徽融耀科技产业发展有限公司界首市田营科技园排水管网及雨水处理站建设工程</w:t>
      </w:r>
      <w:r>
        <w:rPr>
          <w:rFonts w:hint="eastAsia" w:ascii="宋体" w:hAnsi="宋体" w:eastAsia="宋体" w:cs="宋体"/>
          <w:sz w:val="21"/>
          <w:szCs w:val="21"/>
          <w:highlight w:val="none"/>
          <w:lang w:val="en-US" w:eastAsia="zh-CN"/>
        </w:rPr>
        <w:t>，本项目主要内容包括华鑫大道、陶庄湖路、骆驼路、海能路、南都路、苑庄路、庞庄路等现状雨污水管网改造，完善园区雨污水管网，现有排水设施损坏提升，园区初期雨水池及处理设施（改造老污水处理厂）。具体施工内容详见图纸、招标工程量清单控制价。</w:t>
      </w:r>
    </w:p>
    <w:p>
      <w:pPr>
        <w:pStyle w:val="7"/>
        <w:numPr>
          <w:ilvl w:val="0"/>
          <w:numId w:val="19"/>
        </w:numPr>
        <w:rPr>
          <w:rFonts w:hint="default" w:cs="Times New Roman"/>
          <w:sz w:val="24"/>
          <w:szCs w:val="24"/>
          <w:highlight w:val="none"/>
          <w:lang w:val="en-US" w:eastAsia="zh-CN"/>
        </w:rPr>
      </w:pPr>
      <w:r>
        <w:rPr>
          <w:rFonts w:hint="eastAsia" w:cs="Times New Roman"/>
          <w:sz w:val="24"/>
          <w:szCs w:val="24"/>
          <w:highlight w:val="none"/>
          <w:lang w:val="en-US" w:eastAsia="zh-CN"/>
        </w:rPr>
        <w:t>服务需求</w:t>
      </w:r>
      <w:r>
        <w:rPr>
          <w:rFonts w:hint="eastAsia" w:cs="Times New Roman"/>
          <w:sz w:val="24"/>
          <w:szCs w:val="24"/>
          <w:highlight w:val="none"/>
          <w:lang w:val="en-US" w:eastAsia="zh-CN"/>
        </w:rPr>
        <w:tab/>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1、服务内容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本项目范围内所有工程的</w:t>
      </w:r>
      <w:r>
        <w:rPr>
          <w:rFonts w:hint="eastAsia" w:ascii="宋体" w:hAnsi="宋体" w:eastAsia="宋体" w:cs="Times New Roman"/>
          <w:sz w:val="21"/>
          <w:szCs w:val="21"/>
          <w:highlight w:val="none"/>
          <w:lang w:val="en-US" w:eastAsia="zh-CN"/>
        </w:rPr>
        <w:t>施工阶段全过程跟踪</w:t>
      </w:r>
      <w:r>
        <w:rPr>
          <w:rFonts w:hint="eastAsia" w:ascii="宋体" w:hAnsi="宋体" w:eastAsia="宋体" w:cs="Times New Roman"/>
          <w:sz w:val="21"/>
          <w:szCs w:val="21"/>
          <w:highlight w:val="none"/>
        </w:rPr>
        <w:t>审计。包括但不限于：</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（1）整个项目概算执行情况分析反馈；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（2）工程进度款审核；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（3）现场工程变更造价测算、审核，工程变更办理程序检查监督，项目各类合同价款调整测算和审核、工程量核实、工程结算初审等（以上工作不得超过采购人要求时限），并书面签署意见；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鉴证重点隐蔽工程验收、监督工程各分部工程验收及竣工验收程序、跟踪检查项目参建各方是否按合同履约；根据采购人要求参与工程例会及各专项协调会，按时出各种审计报表，并根据采购人要求提供工程必要的造价服务支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rPr>
        <w:t>（5）各项新材料、新技术、新工艺推广经济分析，造价方案论证、审核</w:t>
      </w:r>
      <w:r>
        <w:rPr>
          <w:rFonts w:hint="eastAsia" w:ascii="宋体" w:hAnsi="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（6）记录审计日志，收集并汇总日常审核工作资料，为竣工结算提供依据；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（7）竣工结算初审；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（8）配合竣工结算终审；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（9）施工纠纷专业支持；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（10）采购人交办的其他与本项目有关的工作。</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2、工作要求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（1）成交人和派出人员要按照审计法律法规和国家审计机关审计质量控制管理的规定以及采购人的要求开展审计工作，并对所承担的审计工作的真实性、合法性、准确性、全面性负责。</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成交供应商应及时认真地分析阅读施工图纸、设计变更、技术签证等相关文件资料，经常去施工现场勘察测量和了解实际情况并做好记录，成交供应商应根据建设单位（及监理公司）提供的有关审计资料在规定的工作日内完成审核工作，不得无故拖延时间。成交供应商不得将受托的审计业务转包或分包给其他单位或个人，成交供应商参审人员必须为响应文件中的审计人员（合同履行期间从业人员发生变动的，报采购人同意后方可更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（3）成交人和派出人员在履行本合同的过程中，应本着客观、公正、公平的原则，正确履行审核职责，同时承担相应的法律责任；要严格遵守国家审计机关各项工作制度和廉政纪律。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（4）对成交供应商滥用职权、与施工单位串通、徇私舞弊、玩忽职守应按情节轻重给予处罚，并按有关规定吊销当事人的审核资格。情节严重，造成国家重大损失的，移送司法机关追究刑事责任。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5）成交人应当为派出人员配备必要的工作设备。成交人在审计工作结束后，要及时向采购人移交审计实施过程中所形成的全部纸质资料和电子资料，并删除电子设备中的相关资料，协助完成审计资料归档工作。成交供应商负责对采购人提供的资料、数据等保密，未经采购人书面同意不得向任何第三方提供与本业务有关的任何资料；未经采购人同意，不得擅自使用审计资料和结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（6）成果文件应装订编制，按相关要求递交份数，并保证美观；编制任务结束后应保证采购人能随 时与其联系，全力配合采购人交办工作。</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3、人员配备（由采购人在成交人进场服务前核查人员配备情况，人员须按照要求配备到位）</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（1）拟投入本项目人员，须为本单位正式员工，提供相关证明材料或声明函，如未提供，拟投入人员则不予认可，供应商须对相关证明材料或声明函负责，若成交后发现有弄虚作假行为，应承担相应责任；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）采购人结合成交人员的工作能力情况，有权要求对上述人员中的部分人员作出更好的调整，成交人不得拒绝；需更换的人员必须在3日内予以更换，否则按</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000元/次向采购人支付违约金。</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eastAsia="zh-CN"/>
        </w:rPr>
      </w:pPr>
      <w:r>
        <w:rPr>
          <w:rFonts w:hint="eastAsia" w:ascii="宋体" w:hAnsi="宋体" w:eastAsia="宋体" w:cs="Times New Roman"/>
          <w:sz w:val="21"/>
          <w:szCs w:val="21"/>
          <w:highlight w:val="none"/>
        </w:rPr>
        <w:t>（</w:t>
      </w:r>
      <w:r>
        <w:rPr>
          <w:rFonts w:hint="eastAsia" w:ascii="宋体" w:hAnsi="宋体" w:cs="Times New Roman"/>
          <w:sz w:val="21"/>
          <w:szCs w:val="21"/>
          <w:highlight w:val="none"/>
          <w:lang w:val="en-US" w:eastAsia="zh-CN"/>
        </w:rPr>
        <w:t>3</w:t>
      </w:r>
      <w:r>
        <w:rPr>
          <w:rFonts w:hint="eastAsia" w:ascii="宋体" w:hAnsi="宋体" w:eastAsia="宋体" w:cs="Times New Roman"/>
          <w:sz w:val="21"/>
          <w:szCs w:val="21"/>
          <w:highlight w:val="none"/>
        </w:rPr>
        <w:t>）驻场要求。要求的驻场人员（除项目负责人外）每周每人不少于</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天，每天保证8小时以上，每少一天，成交人按500元/天支付违约金；项目负责人驻场时间每月不少于22天，每天在岗工作时间不得少于 8 小时，每少一天，成交人按</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rPr>
        <w:t>00/次支付违约金。节假日成交人须根据项目要求和现场施工需要，安排相应的专业人员值班。</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驻场人员若有未按要求驻场的，扣除违约金人民币1000元/人/次。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 xml:space="preserve"> </w:t>
      </w:r>
    </w:p>
    <w:p>
      <w:pPr>
        <w:pStyle w:val="7"/>
        <w:numPr>
          <w:ilvl w:val="0"/>
          <w:numId w:val="19"/>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本项目报价形式为</w:t>
      </w:r>
      <w:r>
        <w:rPr>
          <w:rFonts w:hint="eastAsia" w:ascii="宋体" w:hAnsi="宋体" w:eastAsia="宋体" w:cs="Times New Roman"/>
          <w:b/>
          <w:bCs/>
          <w:sz w:val="21"/>
          <w:szCs w:val="21"/>
          <w:highlight w:val="none"/>
          <w:lang w:val="en-US" w:eastAsia="zh-CN"/>
        </w:rPr>
        <w:t>折扣率报价</w:t>
      </w:r>
      <w:r>
        <w:rPr>
          <w:rFonts w:hint="eastAsia" w:ascii="宋体" w:hAnsi="宋体" w:eastAsia="宋体" w:cs="Times New Roman"/>
          <w:sz w:val="21"/>
          <w:szCs w:val="21"/>
          <w:highlight w:val="none"/>
          <w:lang w:val="en-US" w:eastAsia="zh-CN"/>
        </w:rPr>
        <w:t>，控制价为皖价服〔2007〕86号文件规定</w:t>
      </w:r>
      <w:r>
        <w:rPr>
          <w:rFonts w:hint="eastAsia" w:ascii="宋体" w:hAnsi="宋体" w:cs="Times New Roman"/>
          <w:sz w:val="21"/>
          <w:szCs w:val="21"/>
          <w:highlight w:val="none"/>
          <w:lang w:val="en-US" w:eastAsia="zh-CN"/>
        </w:rPr>
        <w:t>标准的50%</w:t>
      </w:r>
      <w:r>
        <w:rPr>
          <w:rFonts w:hint="eastAsia" w:ascii="宋体" w:hAnsi="宋体" w:eastAsia="宋体" w:cs="Times New Roman"/>
          <w:sz w:val="21"/>
          <w:szCs w:val="21"/>
          <w:highlight w:val="none"/>
          <w:lang w:val="en-US" w:eastAsia="zh-CN"/>
        </w:rPr>
        <w:t>，即审计服务费=皖价服〔2007〕86号文件规定费率*</w:t>
      </w:r>
      <w:r>
        <w:rPr>
          <w:rFonts w:hint="eastAsia" w:ascii="宋体" w:hAnsi="宋体" w:cs="Times New Roman"/>
          <w:sz w:val="21"/>
          <w:szCs w:val="21"/>
          <w:highlight w:val="none"/>
          <w:lang w:val="en-US" w:eastAsia="zh-CN"/>
        </w:rPr>
        <w:t>工程施工合同</w:t>
      </w:r>
      <w:r>
        <w:rPr>
          <w:rFonts w:hint="eastAsia" w:ascii="宋体" w:hAnsi="宋体" w:eastAsia="宋体" w:cs="Times New Roman"/>
          <w:sz w:val="21"/>
          <w:szCs w:val="21"/>
          <w:highlight w:val="none"/>
          <w:lang w:val="en-US" w:eastAsia="zh-CN"/>
        </w:rPr>
        <w:t xml:space="preserve">总造价*成交折扣率。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报价为完成本次项目的全部费用，包括但不限于人员工资、办公费、通讯费、差旅费、食宿费等为完成本次项目所发生的一切费用。 若工程因故延期，审计费不增加，</w:t>
      </w:r>
      <w:r>
        <w:rPr>
          <w:rFonts w:hint="eastAsia" w:ascii="宋体" w:hAnsi="宋体" w:cs="Times New Roman"/>
          <w:sz w:val="21"/>
          <w:szCs w:val="21"/>
          <w:highlight w:val="none"/>
          <w:lang w:val="en-US" w:eastAsia="zh-CN"/>
        </w:rPr>
        <w:t>供应商</w:t>
      </w:r>
      <w:r>
        <w:rPr>
          <w:rFonts w:hint="eastAsia" w:ascii="宋体" w:hAnsi="宋体" w:eastAsia="宋体" w:cs="Times New Roman"/>
          <w:sz w:val="21"/>
          <w:szCs w:val="21"/>
          <w:highlight w:val="none"/>
          <w:lang w:val="en-US" w:eastAsia="zh-CN"/>
        </w:rPr>
        <w:t xml:space="preserve">自行考虑报价风险。 </w:t>
      </w:r>
    </w:p>
    <w:p>
      <w:pPr>
        <w:pStyle w:val="7"/>
        <w:numPr>
          <w:ilvl w:val="0"/>
          <w:numId w:val="19"/>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1、驻场人员食宿交通需结合建设单位提供的办公条件自行解决，不得接受由工程施工单位安排食宿交通。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2、工程竣工验收合格后30日内，成交人向采购人出具项目跟踪审计报告、决算初审报告。</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工程竣工验收前，采购人将对成交人进行考核，考核通过的，成交人可继续完成竣工决算终审，并向采购人出具最终竣工决算审核报告。考核不通过的，采购人将另行委托有资质的咨询公司进行竣工决算终审。 </w:t>
      </w:r>
      <w:r>
        <w:rPr>
          <w:rFonts w:hint="eastAsia" w:ascii="宋体" w:hAnsi="宋体" w:eastAsia="宋体" w:cs="Times New Roman"/>
          <w:sz w:val="21"/>
          <w:szCs w:val="21"/>
          <w:highlight w:val="none"/>
        </w:rPr>
        <w:br w:type="page"/>
      </w:r>
    </w:p>
    <w:p>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2" w:name="_Toc14564"/>
      <w:r>
        <w:rPr>
          <w:rFonts w:hint="eastAsia" w:ascii="宋体" w:hAnsi="宋体"/>
          <w:sz w:val="32"/>
          <w:szCs w:val="32"/>
          <w:highlight w:val="none"/>
        </w:rPr>
        <w:t>评审方法和标准</w:t>
      </w:r>
      <w:bookmarkEnd w:id="62"/>
    </w:p>
    <w:p>
      <w:pPr>
        <w:pStyle w:val="7"/>
        <w:rPr>
          <w:highlight w:val="none"/>
        </w:rPr>
      </w:pPr>
      <w:r>
        <w:rPr>
          <w:highlight w:val="none"/>
        </w:rPr>
        <w:t>一、总则</w:t>
      </w:r>
    </w:p>
    <w:p>
      <w:pPr>
        <w:pStyle w:val="10"/>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pPr>
        <w:pStyle w:val="10"/>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pPr>
        <w:pStyle w:val="27"/>
        <w:numPr>
          <w:ilvl w:val="1"/>
          <w:numId w:val="20"/>
        </w:numPr>
        <w:tabs>
          <w:tab w:val="left" w:pos="1090"/>
        </w:tabs>
        <w:spacing w:before="5" w:line="360" w:lineRule="auto"/>
        <w:ind w:hanging="421"/>
        <w:rPr>
          <w:sz w:val="21"/>
          <w:szCs w:val="21"/>
          <w:highlight w:val="none"/>
        </w:rPr>
      </w:pPr>
      <w:r>
        <w:rPr>
          <w:sz w:val="21"/>
          <w:szCs w:val="21"/>
          <w:highlight w:val="none"/>
        </w:rPr>
        <w:t>初审</w:t>
      </w:r>
    </w:p>
    <w:p>
      <w:pPr>
        <w:pStyle w:val="10"/>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pPr>
              <w:pStyle w:val="25"/>
              <w:spacing w:before="28" w:line="360" w:lineRule="auto"/>
              <w:ind w:left="3870" w:right="3853"/>
              <w:jc w:val="center"/>
              <w:rPr>
                <w:b/>
                <w:sz w:val="21"/>
                <w:szCs w:val="21"/>
                <w:highlight w:val="none"/>
                <w:lang w:eastAsia="en-US"/>
              </w:rPr>
            </w:pPr>
            <w:r>
              <w:rPr>
                <w:b/>
                <w:sz w:val="21"/>
                <w:szCs w:val="21"/>
                <w:highlight w:val="none"/>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pPr>
              <w:pStyle w:val="25"/>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pPr>
              <w:pStyle w:val="25"/>
              <w:spacing w:line="360" w:lineRule="auto"/>
              <w:ind w:left="107" w:right="91"/>
              <w:jc w:val="center"/>
              <w:rPr>
                <w:sz w:val="21"/>
                <w:szCs w:val="21"/>
                <w:highlight w:val="none"/>
                <w:lang w:eastAsia="en-US"/>
              </w:rPr>
            </w:pPr>
            <w:r>
              <w:rPr>
                <w:sz w:val="21"/>
                <w:szCs w:val="21"/>
                <w:highlight w:val="none"/>
                <w:lang w:eastAsia="en-US"/>
              </w:rPr>
              <w:t>评审指标</w:t>
            </w:r>
          </w:p>
        </w:tc>
        <w:tc>
          <w:tcPr>
            <w:tcW w:w="2149" w:type="dxa"/>
            <w:tcBorders>
              <w:right w:val="single" w:color="000000" w:sz="6" w:space="0"/>
            </w:tcBorders>
            <w:shd w:val="clear" w:color="auto" w:fill="auto"/>
            <w:vAlign w:val="center"/>
          </w:tcPr>
          <w:p>
            <w:pPr>
              <w:pStyle w:val="25"/>
              <w:spacing w:line="360" w:lineRule="auto"/>
              <w:ind w:left="170" w:right="150"/>
              <w:jc w:val="center"/>
              <w:rPr>
                <w:sz w:val="21"/>
                <w:szCs w:val="21"/>
                <w:highlight w:val="none"/>
                <w:lang w:eastAsia="en-US"/>
              </w:rPr>
            </w:pPr>
            <w:r>
              <w:rPr>
                <w:sz w:val="21"/>
                <w:szCs w:val="21"/>
                <w:highlight w:val="none"/>
                <w:lang w:eastAsia="en-US"/>
              </w:rPr>
              <w:t>评审标准</w:t>
            </w:r>
          </w:p>
        </w:tc>
        <w:tc>
          <w:tcPr>
            <w:tcW w:w="3869" w:type="dxa"/>
            <w:tcBorders>
              <w:left w:val="single" w:color="000000" w:sz="6" w:space="0"/>
            </w:tcBorders>
            <w:shd w:val="clear" w:color="auto" w:fill="auto"/>
            <w:vAlign w:val="center"/>
          </w:tcPr>
          <w:p>
            <w:pPr>
              <w:pStyle w:val="25"/>
              <w:spacing w:line="360" w:lineRule="auto"/>
              <w:ind w:left="1095"/>
              <w:rPr>
                <w:sz w:val="21"/>
                <w:szCs w:val="21"/>
                <w:highlight w:val="none"/>
                <w:lang w:eastAsia="en-US"/>
              </w:rPr>
            </w:pPr>
            <w:r>
              <w:rPr>
                <w:sz w:val="21"/>
                <w:szCs w:val="21"/>
                <w:highlight w:val="none"/>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pPr>
              <w:pStyle w:val="25"/>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pPr>
              <w:pStyle w:val="25"/>
              <w:spacing w:line="360" w:lineRule="auto"/>
              <w:ind w:right="91"/>
              <w:jc w:val="center"/>
              <w:rPr>
                <w:sz w:val="21"/>
                <w:szCs w:val="21"/>
                <w:highlight w:val="none"/>
                <w:lang w:eastAsia="en-US"/>
              </w:rPr>
            </w:pPr>
            <w:r>
              <w:rPr>
                <w:sz w:val="21"/>
                <w:szCs w:val="21"/>
                <w:highlight w:val="none"/>
                <w:lang w:eastAsia="en-US"/>
              </w:rPr>
              <w:t>营业执照</w:t>
            </w:r>
          </w:p>
        </w:tc>
        <w:tc>
          <w:tcPr>
            <w:tcW w:w="2149" w:type="dxa"/>
            <w:tcBorders>
              <w:right w:val="single" w:color="000000" w:sz="6" w:space="0"/>
            </w:tcBorders>
            <w:shd w:val="clear" w:color="auto" w:fill="auto"/>
            <w:vAlign w:val="center"/>
          </w:tcPr>
          <w:p>
            <w:pPr>
              <w:pStyle w:val="25"/>
              <w:spacing w:line="360" w:lineRule="auto"/>
              <w:ind w:right="150"/>
              <w:jc w:val="center"/>
              <w:rPr>
                <w:sz w:val="21"/>
                <w:szCs w:val="21"/>
                <w:highlight w:val="none"/>
                <w:lang w:eastAsia="en-US"/>
              </w:rPr>
            </w:pPr>
            <w:r>
              <w:rPr>
                <w:sz w:val="21"/>
                <w:szCs w:val="21"/>
                <w:highlight w:val="none"/>
                <w:lang w:eastAsia="en-US"/>
              </w:rPr>
              <w:t>合法有效</w:t>
            </w:r>
          </w:p>
        </w:tc>
        <w:tc>
          <w:tcPr>
            <w:tcW w:w="3869" w:type="dxa"/>
            <w:tcBorders>
              <w:left w:val="single" w:color="000000" w:sz="6" w:space="0"/>
            </w:tcBorders>
            <w:shd w:val="clear" w:color="auto" w:fill="auto"/>
            <w:vAlign w:val="center"/>
          </w:tcPr>
          <w:p>
            <w:pPr>
              <w:pStyle w:val="25"/>
              <w:spacing w:line="360" w:lineRule="auto"/>
              <w:ind w:left="106" w:right="-29"/>
              <w:rPr>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pPr>
              <w:pStyle w:val="25"/>
              <w:spacing w:line="360" w:lineRule="auto"/>
              <w:ind w:left="19"/>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pPr>
              <w:pStyle w:val="25"/>
              <w:spacing w:before="209" w:line="360" w:lineRule="auto"/>
              <w:ind w:right="91" w:rightChars="0"/>
              <w:jc w:val="center"/>
              <w:rPr>
                <w:rFonts w:hint="default"/>
                <w:sz w:val="21"/>
                <w:szCs w:val="21"/>
                <w:highlight w:val="none"/>
                <w:lang w:val="en-US" w:eastAsia="en-US"/>
              </w:rPr>
            </w:pPr>
            <w:r>
              <w:rPr>
                <w:rFonts w:hint="eastAsia"/>
                <w:sz w:val="21"/>
                <w:szCs w:val="21"/>
                <w:highlight w:val="none"/>
                <w:lang w:val="en-US" w:eastAsia="zh-CN"/>
              </w:rPr>
              <w:t>项目负责人资格</w:t>
            </w:r>
          </w:p>
        </w:tc>
        <w:tc>
          <w:tcPr>
            <w:tcW w:w="2149" w:type="dxa"/>
            <w:tcBorders>
              <w:right w:val="single" w:color="000000" w:sz="6" w:space="0"/>
            </w:tcBorders>
            <w:shd w:val="clear" w:color="auto" w:fill="auto"/>
            <w:vAlign w:val="center"/>
          </w:tcPr>
          <w:p>
            <w:pPr>
              <w:pStyle w:val="25"/>
              <w:spacing w:line="360" w:lineRule="auto"/>
              <w:ind w:right="150"/>
              <w:jc w:val="center"/>
              <w:rPr>
                <w:sz w:val="21"/>
                <w:szCs w:val="21"/>
                <w:highlight w:val="none"/>
                <w:lang w:eastAsia="en-US"/>
              </w:rPr>
            </w:pPr>
            <w:r>
              <w:rPr>
                <w:rFonts w:hint="eastAsia"/>
                <w:sz w:val="21"/>
                <w:szCs w:val="21"/>
                <w:highlight w:val="none"/>
                <w:lang w:val="en-US" w:eastAsia="zh-CN"/>
              </w:rPr>
              <w:t>符合磋商文件要求</w:t>
            </w:r>
          </w:p>
        </w:tc>
        <w:tc>
          <w:tcPr>
            <w:tcW w:w="3869" w:type="dxa"/>
            <w:tcBorders>
              <w:top w:val="nil"/>
              <w:left w:val="single" w:color="000000" w:sz="6" w:space="0"/>
            </w:tcBorders>
            <w:shd w:val="clear" w:color="auto" w:fill="auto"/>
            <w:vAlign w:val="center"/>
          </w:tcPr>
          <w:p>
            <w:pPr>
              <w:autoSpaceDE w:val="0"/>
              <w:autoSpaceDN w:val="0"/>
              <w:spacing w:line="360" w:lineRule="auto"/>
              <w:rPr>
                <w:rFonts w:ascii="宋体" w:hAnsi="宋体"/>
                <w:kern w:val="0"/>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pPr>
              <w:pStyle w:val="25"/>
              <w:spacing w:before="2" w:line="360" w:lineRule="auto"/>
              <w:rPr>
                <w:sz w:val="21"/>
                <w:szCs w:val="21"/>
                <w:highlight w:val="none"/>
              </w:rPr>
            </w:pPr>
          </w:p>
          <w:p>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3</w:t>
            </w:r>
          </w:p>
        </w:tc>
        <w:tc>
          <w:tcPr>
            <w:tcW w:w="1763" w:type="dxa"/>
            <w:shd w:val="clear" w:color="auto" w:fill="auto"/>
            <w:vAlign w:val="center"/>
          </w:tcPr>
          <w:p>
            <w:pPr>
              <w:pStyle w:val="25"/>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149" w:type="dxa"/>
            <w:tcBorders>
              <w:right w:val="single" w:color="000000" w:sz="6" w:space="0"/>
            </w:tcBorders>
            <w:shd w:val="clear" w:color="auto" w:fill="auto"/>
            <w:vAlign w:val="center"/>
          </w:tcPr>
          <w:p>
            <w:pPr>
              <w:pStyle w:val="25"/>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869" w:type="dxa"/>
            <w:tcBorders>
              <w:left w:val="single" w:color="000000" w:sz="6" w:space="0"/>
            </w:tcBorders>
            <w:shd w:val="clear" w:color="auto" w:fill="auto"/>
            <w:vAlign w:val="center"/>
          </w:tcPr>
          <w:p>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pPr>
              <w:pStyle w:val="25"/>
              <w:spacing w:line="360" w:lineRule="auto"/>
              <w:rPr>
                <w:sz w:val="21"/>
                <w:szCs w:val="21"/>
                <w:highlight w:val="none"/>
              </w:rPr>
            </w:pPr>
          </w:p>
          <w:p>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pPr>
              <w:pStyle w:val="25"/>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149" w:type="dxa"/>
            <w:tcBorders>
              <w:right w:val="single" w:color="000000" w:sz="6" w:space="0"/>
            </w:tcBorders>
            <w:shd w:val="clear" w:color="auto" w:fill="auto"/>
            <w:vAlign w:val="center"/>
          </w:tcPr>
          <w:p>
            <w:pPr>
              <w:pStyle w:val="25"/>
              <w:spacing w:line="360" w:lineRule="auto"/>
              <w:ind w:left="172" w:right="83" w:hanging="68"/>
              <w:jc w:val="center"/>
              <w:rPr>
                <w:sz w:val="21"/>
                <w:szCs w:val="21"/>
                <w:highlight w:val="none"/>
              </w:rPr>
            </w:pPr>
            <w:r>
              <w:t>格式、填写要求符合磋商文件规定并加盖供应商公章</w:t>
            </w:r>
          </w:p>
        </w:tc>
        <w:tc>
          <w:tcPr>
            <w:tcW w:w="3869" w:type="dxa"/>
            <w:tcBorders>
              <w:left w:val="single" w:color="000000" w:sz="6" w:space="0"/>
            </w:tcBorders>
            <w:shd w:val="clear" w:color="auto" w:fill="auto"/>
            <w:vAlign w:val="center"/>
          </w:tcPr>
          <w:p>
            <w:pPr>
              <w:pStyle w:val="2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pPr>
              <w:pStyle w:val="25"/>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149" w:type="dxa"/>
            <w:tcBorders>
              <w:right w:val="single" w:color="000000" w:sz="6" w:space="0"/>
            </w:tcBorders>
            <w:shd w:val="clear" w:color="auto" w:fill="auto"/>
            <w:vAlign w:val="center"/>
          </w:tcPr>
          <w:p>
            <w:pPr>
              <w:pStyle w:val="25"/>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869" w:type="dxa"/>
            <w:tcBorders>
              <w:left w:val="single" w:color="000000" w:sz="6" w:space="0"/>
            </w:tcBorders>
            <w:shd w:val="clear" w:color="auto" w:fill="auto"/>
            <w:vAlign w:val="center"/>
          </w:tcPr>
          <w:p>
            <w:pPr>
              <w:pStyle w:val="2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pPr>
              <w:pStyle w:val="25"/>
              <w:spacing w:line="360" w:lineRule="auto"/>
              <w:ind w:right="74"/>
              <w:jc w:val="center"/>
              <w:rPr>
                <w:sz w:val="21"/>
                <w:szCs w:val="21"/>
                <w:highlight w:val="none"/>
                <w:lang w:eastAsia="en-US"/>
              </w:rPr>
            </w:pPr>
            <w:r>
              <w:rPr>
                <w:sz w:val="21"/>
                <w:szCs w:val="21"/>
                <w:highlight w:val="none"/>
                <w:lang w:eastAsia="en-US"/>
              </w:rPr>
              <w:t>商务响应情况</w:t>
            </w:r>
          </w:p>
        </w:tc>
        <w:tc>
          <w:tcPr>
            <w:tcW w:w="2149" w:type="dxa"/>
            <w:tcBorders>
              <w:right w:val="single" w:color="000000" w:sz="6" w:space="0"/>
            </w:tcBorders>
            <w:shd w:val="clear" w:color="auto" w:fill="auto"/>
            <w:vAlign w:val="center"/>
          </w:tcPr>
          <w:p>
            <w:pPr>
              <w:pStyle w:val="25"/>
              <w:spacing w:line="360" w:lineRule="auto"/>
              <w:ind w:left="105" w:right="83"/>
              <w:jc w:val="center"/>
              <w:rPr>
                <w:sz w:val="21"/>
                <w:szCs w:val="21"/>
                <w:highlight w:val="none"/>
              </w:rPr>
            </w:pPr>
            <w:r>
              <w:rPr>
                <w:sz w:val="21"/>
                <w:szCs w:val="21"/>
                <w:highlight w:val="none"/>
              </w:rPr>
              <w:t>符合磋商文件要求</w:t>
            </w:r>
          </w:p>
        </w:tc>
        <w:tc>
          <w:tcPr>
            <w:tcW w:w="3869" w:type="dxa"/>
            <w:tcBorders>
              <w:left w:val="single" w:color="000000" w:sz="6" w:space="0"/>
            </w:tcBorders>
            <w:shd w:val="clear" w:color="auto" w:fill="auto"/>
            <w:vAlign w:val="center"/>
          </w:tcPr>
          <w:p>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pPr>
              <w:pStyle w:val="25"/>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pPr>
              <w:pStyle w:val="25"/>
              <w:spacing w:line="360" w:lineRule="auto"/>
              <w:ind w:left="107" w:right="91"/>
              <w:jc w:val="center"/>
              <w:rPr>
                <w:sz w:val="21"/>
                <w:szCs w:val="21"/>
                <w:highlight w:val="none"/>
                <w:lang w:eastAsia="en-US"/>
              </w:rPr>
            </w:pPr>
            <w:r>
              <w:rPr>
                <w:sz w:val="21"/>
                <w:szCs w:val="21"/>
                <w:highlight w:val="none"/>
                <w:lang w:eastAsia="en-US"/>
              </w:rPr>
              <w:t>其他要求</w:t>
            </w:r>
          </w:p>
        </w:tc>
        <w:tc>
          <w:tcPr>
            <w:tcW w:w="2149" w:type="dxa"/>
            <w:tcBorders>
              <w:right w:val="single" w:color="000000" w:sz="6" w:space="0"/>
            </w:tcBorders>
            <w:shd w:val="clear" w:color="auto" w:fill="auto"/>
            <w:vAlign w:val="center"/>
          </w:tcPr>
          <w:p>
            <w:pPr>
              <w:pStyle w:val="25"/>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869" w:type="dxa"/>
            <w:tcBorders>
              <w:left w:val="single" w:color="000000" w:sz="6" w:space="0"/>
            </w:tcBorders>
            <w:shd w:val="clear" w:color="auto" w:fill="auto"/>
            <w:vAlign w:val="center"/>
          </w:tcPr>
          <w:p>
            <w:pPr>
              <w:pStyle w:val="25"/>
              <w:spacing w:line="360" w:lineRule="auto"/>
              <w:rPr>
                <w:sz w:val="21"/>
                <w:szCs w:val="21"/>
                <w:highlight w:val="none"/>
              </w:rPr>
            </w:pPr>
            <w:r>
              <w:rPr>
                <w:rFonts w:hint="eastAsia"/>
                <w:sz w:val="21"/>
                <w:szCs w:val="21"/>
                <w:highlight w:val="none"/>
              </w:rPr>
              <w:t xml:space="preserve">    </w:t>
            </w:r>
          </w:p>
        </w:tc>
      </w:tr>
    </w:tbl>
    <w:p>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pPr>
        <w:pStyle w:val="10"/>
        <w:rPr>
          <w:rFonts w:ascii="宋体" w:hAnsi="宋体"/>
          <w:highlight w:val="none"/>
        </w:rPr>
      </w:pPr>
    </w:p>
    <w:p>
      <w:pPr>
        <w:pStyle w:val="7"/>
        <w:numPr>
          <w:ilvl w:val="1"/>
          <w:numId w:val="20"/>
        </w:numPr>
        <w:rPr>
          <w:highlight w:val="none"/>
        </w:rPr>
      </w:pPr>
      <w:r>
        <w:rPr>
          <w:rFonts w:hint="eastAsia"/>
          <w:highlight w:val="none"/>
        </w:rPr>
        <w:t xml:space="preserve"> </w:t>
      </w:r>
      <w:r>
        <w:rPr>
          <w:highlight w:val="none"/>
        </w:rPr>
        <w:t>综合评分</w:t>
      </w:r>
    </w:p>
    <w:p>
      <w:pPr>
        <w:pStyle w:val="27"/>
        <w:numPr>
          <w:ilvl w:val="2"/>
          <w:numId w:val="20"/>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pPr>
        <w:pStyle w:val="27"/>
        <w:numPr>
          <w:ilvl w:val="2"/>
          <w:numId w:val="20"/>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90</w:t>
      </w:r>
      <w:r>
        <w:rPr>
          <w:sz w:val="21"/>
          <w:szCs w:val="21"/>
          <w:highlight w:val="none"/>
        </w:rPr>
        <w:t>%，价格分值占总分值的权重为</w:t>
      </w:r>
      <w:r>
        <w:rPr>
          <w:rFonts w:hint="eastAsia"/>
          <w:sz w:val="21"/>
          <w:szCs w:val="21"/>
          <w:highlight w:val="none"/>
          <w:u w:val="single"/>
          <w:lang w:val="en-US" w:eastAsia="zh-CN"/>
        </w:rPr>
        <w:t>10</w:t>
      </w:r>
      <w:r>
        <w:rPr>
          <w:sz w:val="21"/>
          <w:szCs w:val="21"/>
          <w:highlight w:val="none"/>
        </w:rPr>
        <w:t>%。具体评分细则如下：</w:t>
      </w:r>
    </w:p>
    <w:tbl>
      <w:tblPr>
        <w:tblStyle w:val="17"/>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41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0" w:type="auto"/>
            <w:vAlign w:val="center"/>
          </w:tcPr>
          <w:p>
            <w:pPr>
              <w:spacing w:before="181" w:line="377" w:lineRule="auto"/>
              <w:ind w:left="113" w:right="105"/>
              <w:rPr>
                <w:rFonts w:hint="eastAsia"/>
                <w:sz w:val="21"/>
                <w:szCs w:val="21"/>
                <w:highlight w:val="none"/>
              </w:rPr>
            </w:pPr>
            <w:r>
              <w:rPr>
                <w:rFonts w:hint="eastAsia"/>
                <w:b/>
                <w:bCs/>
                <w:sz w:val="21"/>
                <w:szCs w:val="21"/>
                <w:highlight w:val="none"/>
              </w:rPr>
              <w:t>评审内容</w:t>
            </w:r>
          </w:p>
        </w:tc>
        <w:tc>
          <w:tcPr>
            <w:tcW w:w="0" w:type="auto"/>
            <w:gridSpan w:val="2"/>
            <w:vAlign w:val="center"/>
          </w:tcPr>
          <w:p>
            <w:pPr>
              <w:spacing w:before="181" w:line="377" w:lineRule="auto"/>
              <w:ind w:left="113" w:right="105"/>
              <w:jc w:val="center"/>
              <w:rPr>
                <w:rFonts w:hint="eastAsia"/>
                <w:sz w:val="21"/>
                <w:szCs w:val="21"/>
                <w:highlight w:val="none"/>
              </w:rPr>
            </w:pPr>
            <w:r>
              <w:rPr>
                <w:rFonts w:hint="eastAsia"/>
                <w:b/>
                <w:bCs/>
                <w:sz w:val="21"/>
                <w:szCs w:val="21"/>
                <w:highlight w:val="none"/>
              </w:rPr>
              <w:t>评审因素及分值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0" w:type="auto"/>
            <w:vMerge w:val="restart"/>
            <w:vAlign w:val="center"/>
          </w:tcPr>
          <w:p>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技术资信分（90</w:t>
            </w:r>
            <w:r>
              <w:rPr>
                <w:rFonts w:hint="eastAsia" w:asciiTheme="minorEastAsia" w:hAnsiTheme="minorEastAsia" w:eastAsiaTheme="minorEastAsia" w:cstheme="minorEastAsia"/>
                <w:sz w:val="21"/>
                <w:szCs w:val="21"/>
                <w:highlight w:val="none"/>
              </w:rPr>
              <w:t>分）</w:t>
            </w:r>
          </w:p>
        </w:tc>
        <w:tc>
          <w:tcPr>
            <w:tcW w:w="0" w:type="auto"/>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服务方案</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0-70</w:t>
            </w:r>
            <w:r>
              <w:rPr>
                <w:rFonts w:hint="eastAsia" w:asciiTheme="minorEastAsia" w:hAnsiTheme="minorEastAsia" w:eastAsiaTheme="minorEastAsia" w:cstheme="minorEastAsia"/>
                <w:sz w:val="21"/>
                <w:szCs w:val="21"/>
                <w:highlight w:val="none"/>
              </w:rPr>
              <w:t>分）</w:t>
            </w:r>
          </w:p>
        </w:tc>
        <w:tc>
          <w:tcPr>
            <w:tcW w:w="0" w:type="auto"/>
            <w:vAlign w:val="center"/>
          </w:tcPr>
          <w:p>
            <w:pPr>
              <w:keepNext w:val="0"/>
              <w:keepLines w:val="0"/>
              <w:pageBreakBefore w:val="0"/>
              <w:widowControl w:val="0"/>
              <w:numPr>
                <w:ilvl w:val="0"/>
                <w:numId w:val="21"/>
              </w:numPr>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审计工作的指导思想和审计目标</w:t>
            </w:r>
          </w:p>
          <w:p>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left="105" w:leftChars="50" w:right="283" w:rightChars="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2、内部控制管理制度</w:t>
            </w:r>
          </w:p>
          <w:p>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r>
              <w:rPr>
                <w:rFonts w:hint="eastAsia" w:asciiTheme="minorEastAsia" w:hAnsiTheme="minorEastAsia" w:eastAsiaTheme="minorEastAsia" w:cstheme="minorEastAsia"/>
                <w:b/>
                <w:bCs/>
                <w:sz w:val="21"/>
                <w:szCs w:val="21"/>
                <w:highlight w:val="none"/>
                <w:lang w:val="en-US" w:eastAsia="zh-CN"/>
              </w:rPr>
              <w:t>现场跟踪审计工作方案</w:t>
            </w:r>
          </w:p>
          <w:p>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w:t>
            </w:r>
            <w:r>
              <w:rPr>
                <w:rFonts w:hint="eastAsia" w:asciiTheme="minorEastAsia" w:hAnsiTheme="minorEastAsia" w:eastAsiaTheme="minorEastAsia" w:cstheme="minorEastAsia"/>
                <w:b/>
                <w:bCs/>
                <w:sz w:val="21"/>
                <w:szCs w:val="21"/>
                <w:highlight w:val="none"/>
                <w:lang w:val="en-US" w:eastAsia="zh-CN"/>
              </w:rPr>
              <w:t>合同工程完工结算审计工作方案</w:t>
            </w:r>
          </w:p>
          <w:p>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审计重难点分析及应对措施</w:t>
            </w:r>
          </w:p>
          <w:p>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6、廉政风险预控方案及措施</w:t>
            </w:r>
          </w:p>
          <w:p>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7、合理化建议</w:t>
            </w:r>
          </w:p>
          <w:p>
            <w:pPr>
              <w:spacing w:before="181" w:line="377" w:lineRule="auto"/>
              <w:ind w:left="113" w:right="105"/>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2"/>
                <w:sz w:val="21"/>
                <w:szCs w:val="21"/>
                <w:highlight w:val="none"/>
                <w:lang w:val="en-US" w:eastAsia="zh-CN" w:bidi="ar-SA"/>
              </w:rPr>
              <w:t>以上7个小项，每项各10分，满分70分。磋商小组根据供应商提供的以上内容对每项进行综合评分：</w:t>
            </w:r>
            <w:r>
              <w:rPr>
                <w:rFonts w:hint="eastAsia" w:asciiTheme="minorEastAsia" w:hAnsiTheme="minorEastAsia" w:eastAsiaTheme="minorEastAsia" w:cstheme="minorEastAsia"/>
                <w:b/>
                <w:bCs/>
              </w:rPr>
              <w:t xml:space="preserve"> </w:t>
            </w:r>
          </w:p>
          <w:p>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①</w:t>
            </w:r>
            <w:r>
              <w:rPr>
                <w:rFonts w:hint="eastAsia" w:asciiTheme="minorEastAsia" w:hAnsiTheme="minorEastAsia" w:eastAsiaTheme="minorEastAsia" w:cstheme="minorEastAsia"/>
                <w:sz w:val="21"/>
                <w:szCs w:val="21"/>
                <w:highlight w:val="none"/>
                <w:lang w:val="zh-CN"/>
              </w:rPr>
              <w:t>方案完全覆盖采购需求要求并对项目内容进行补充，各项内容制定具体的实施方案，且方案条理清晰，利于项目实施，得</w:t>
            </w:r>
            <w:r>
              <w:rPr>
                <w:rFonts w:hint="eastAsia" w:asciiTheme="minorEastAsia" w:hAnsiTheme="minorEastAsia" w:eastAsiaTheme="minorEastAsia" w:cstheme="minorEastAsia"/>
                <w:sz w:val="21"/>
                <w:szCs w:val="21"/>
                <w:highlight w:val="none"/>
                <w:lang w:val="en-US"/>
              </w:rPr>
              <w:t>10-8</w:t>
            </w:r>
            <w:r>
              <w:rPr>
                <w:rFonts w:hint="eastAsia" w:asciiTheme="minorEastAsia" w:hAnsiTheme="minorEastAsia" w:eastAsiaTheme="minorEastAsia" w:cstheme="minorEastAsia"/>
                <w:sz w:val="21"/>
                <w:szCs w:val="21"/>
                <w:highlight w:val="none"/>
                <w:lang w:val="zh-CN"/>
              </w:rPr>
              <w:t>分；</w:t>
            </w:r>
          </w:p>
          <w:p>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②</w:t>
            </w:r>
            <w:r>
              <w:rPr>
                <w:rFonts w:hint="eastAsia" w:asciiTheme="minorEastAsia" w:hAnsiTheme="minorEastAsia" w:eastAsiaTheme="minorEastAsia" w:cstheme="minorEastAsia"/>
                <w:sz w:val="21"/>
                <w:szCs w:val="21"/>
                <w:highlight w:val="none"/>
                <w:lang w:val="zh-CN"/>
              </w:rPr>
              <w:t>方案完全覆盖采购需求要求并对内容进行补充，虽制定各项实施方案，但方案条理不清，得</w:t>
            </w:r>
            <w:r>
              <w:rPr>
                <w:rFonts w:hint="eastAsia" w:asciiTheme="minorEastAsia" w:hAnsiTheme="minorEastAsia" w:eastAsiaTheme="minorEastAsia" w:cstheme="minorEastAsia"/>
                <w:sz w:val="21"/>
                <w:szCs w:val="21"/>
                <w:highlight w:val="none"/>
                <w:lang w:val="en-US"/>
              </w:rPr>
              <w:t>7-4</w:t>
            </w:r>
            <w:r>
              <w:rPr>
                <w:rFonts w:hint="eastAsia" w:asciiTheme="minorEastAsia" w:hAnsiTheme="minorEastAsia" w:eastAsiaTheme="minorEastAsia" w:cstheme="minorEastAsia"/>
                <w:sz w:val="21"/>
                <w:szCs w:val="21"/>
                <w:highlight w:val="none"/>
                <w:lang w:val="zh-CN"/>
              </w:rPr>
              <w:t>分；</w:t>
            </w:r>
          </w:p>
          <w:p>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③</w:t>
            </w:r>
            <w:r>
              <w:rPr>
                <w:rFonts w:hint="eastAsia" w:asciiTheme="minorEastAsia" w:hAnsiTheme="minorEastAsia" w:eastAsiaTheme="minorEastAsia" w:cstheme="minorEastAsia"/>
                <w:sz w:val="21"/>
                <w:szCs w:val="21"/>
                <w:highlight w:val="none"/>
                <w:lang w:val="zh-CN"/>
              </w:rPr>
              <w:t>方案未完全覆盖采购需求要求，有缺项漏项的，且所提供方案条理不清，不适用本项目，得</w:t>
            </w:r>
            <w:r>
              <w:rPr>
                <w:rFonts w:hint="eastAsia" w:asciiTheme="minorEastAsia" w:hAnsiTheme="minorEastAsia" w:eastAsiaTheme="minorEastAsia" w:cstheme="minorEastAsia"/>
                <w:sz w:val="21"/>
                <w:szCs w:val="21"/>
                <w:highlight w:val="none"/>
                <w:lang w:val="en-US"/>
              </w:rPr>
              <w:t>3-1</w:t>
            </w:r>
            <w:r>
              <w:rPr>
                <w:rFonts w:hint="eastAsia" w:asciiTheme="minorEastAsia" w:hAnsiTheme="minorEastAsia" w:eastAsiaTheme="minorEastAsia" w:cstheme="minorEastAsia"/>
                <w:sz w:val="21"/>
                <w:szCs w:val="21"/>
                <w:highlight w:val="none"/>
                <w:lang w:val="zh-CN"/>
              </w:rPr>
              <w:t>分；</w:t>
            </w:r>
          </w:p>
          <w:p>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④</w:t>
            </w:r>
            <w:r>
              <w:rPr>
                <w:rFonts w:hint="eastAsia" w:asciiTheme="minorEastAsia" w:hAnsiTheme="minorEastAsia" w:eastAsiaTheme="minorEastAsia" w:cstheme="minorEastAsia"/>
                <w:sz w:val="21"/>
                <w:szCs w:val="21"/>
                <w:highlight w:val="none"/>
                <w:lang w:val="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pPr>
              <w:spacing w:before="181" w:line="377" w:lineRule="auto"/>
              <w:ind w:left="113" w:right="105"/>
              <w:rPr>
                <w:rFonts w:hint="eastAsia"/>
                <w:sz w:val="21"/>
                <w:szCs w:val="21"/>
                <w:highlight w:val="none"/>
              </w:rPr>
            </w:pPr>
          </w:p>
        </w:tc>
        <w:tc>
          <w:tcPr>
            <w:tcW w:w="0" w:type="auto"/>
            <w:vAlign w:val="center"/>
          </w:tcPr>
          <w:p>
            <w:pPr>
              <w:keepNext w:val="0"/>
              <w:keepLines w:val="0"/>
              <w:widowControl/>
              <w:suppressLineNumbers w:val="0"/>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企业业绩（0-</w:t>
            </w:r>
            <w:r>
              <w:rPr>
                <w:rFonts w:hint="eastAsia" w:ascii="宋体" w:hAnsi="宋体" w:cs="宋体"/>
                <w:color w:val="000000"/>
                <w:kern w:val="0"/>
                <w:sz w:val="21"/>
                <w:szCs w:val="21"/>
                <w:highlight w:val="none"/>
                <w:lang w:val="en-US" w:eastAsia="zh-CN" w:bidi="ar"/>
              </w:rPr>
              <w:t>15</w:t>
            </w:r>
            <w:r>
              <w:rPr>
                <w:rFonts w:hint="eastAsia" w:ascii="宋体" w:hAnsi="宋体" w:eastAsia="宋体" w:cs="宋体"/>
                <w:color w:val="000000"/>
                <w:kern w:val="0"/>
                <w:sz w:val="21"/>
                <w:szCs w:val="21"/>
                <w:highlight w:val="none"/>
                <w:lang w:val="en-US" w:eastAsia="zh-CN" w:bidi="ar"/>
              </w:rPr>
              <w:t>分）</w:t>
            </w:r>
          </w:p>
        </w:tc>
        <w:tc>
          <w:tcPr>
            <w:tcW w:w="0" w:type="auto"/>
            <w:vAlign w:val="center"/>
          </w:tcPr>
          <w:p>
            <w:pPr>
              <w:spacing w:before="181" w:line="377" w:lineRule="auto"/>
              <w:ind w:left="113" w:right="105"/>
              <w:jc w:val="left"/>
              <w:rPr>
                <w:rFonts w:hint="default"/>
                <w:sz w:val="21"/>
                <w:szCs w:val="21"/>
                <w:highlight w:val="none"/>
                <w:lang w:val="en-US"/>
              </w:rPr>
            </w:pPr>
            <w:r>
              <w:rPr>
                <w:rFonts w:hint="default"/>
                <w:sz w:val="21"/>
                <w:szCs w:val="21"/>
                <w:highlight w:val="none"/>
                <w:lang w:val="en-US"/>
              </w:rPr>
              <w:t>自20</w:t>
            </w:r>
            <w:r>
              <w:rPr>
                <w:rFonts w:hint="eastAsia"/>
                <w:sz w:val="21"/>
                <w:szCs w:val="21"/>
                <w:highlight w:val="none"/>
                <w:lang w:val="en-US" w:eastAsia="zh-CN"/>
              </w:rPr>
              <w:t>20</w:t>
            </w:r>
            <w:r>
              <w:rPr>
                <w:rFonts w:hint="default"/>
                <w:sz w:val="21"/>
                <w:szCs w:val="21"/>
                <w:highlight w:val="none"/>
                <w:lang w:val="en-US"/>
              </w:rPr>
              <w:t>年</w:t>
            </w:r>
            <w:r>
              <w:rPr>
                <w:rFonts w:hint="eastAsia"/>
                <w:sz w:val="21"/>
                <w:szCs w:val="21"/>
                <w:highlight w:val="none"/>
                <w:lang w:val="en-US" w:eastAsia="zh-CN"/>
              </w:rPr>
              <w:t>0</w:t>
            </w:r>
            <w:r>
              <w:rPr>
                <w:rFonts w:hint="default"/>
                <w:sz w:val="21"/>
                <w:szCs w:val="21"/>
                <w:highlight w:val="none"/>
                <w:lang w:val="en-US"/>
              </w:rPr>
              <w:t>1月</w:t>
            </w:r>
            <w:r>
              <w:rPr>
                <w:rFonts w:hint="eastAsia"/>
                <w:sz w:val="21"/>
                <w:szCs w:val="21"/>
                <w:highlight w:val="none"/>
                <w:lang w:val="en-US" w:eastAsia="zh-CN"/>
              </w:rPr>
              <w:t>0</w:t>
            </w:r>
            <w:r>
              <w:rPr>
                <w:rFonts w:hint="default"/>
                <w:sz w:val="21"/>
                <w:szCs w:val="21"/>
                <w:highlight w:val="none"/>
                <w:lang w:val="en-US"/>
              </w:rPr>
              <w:t>1日以来，每提供一个工程造价或审计类业绩，得</w:t>
            </w:r>
            <w:r>
              <w:rPr>
                <w:rFonts w:hint="eastAsia"/>
                <w:sz w:val="21"/>
                <w:szCs w:val="21"/>
                <w:highlight w:val="none"/>
                <w:lang w:val="en-US" w:eastAsia="zh-CN"/>
              </w:rPr>
              <w:t>5</w:t>
            </w:r>
            <w:r>
              <w:rPr>
                <w:rFonts w:hint="default"/>
                <w:sz w:val="21"/>
                <w:szCs w:val="21"/>
                <w:highlight w:val="none"/>
                <w:lang w:val="en-US"/>
              </w:rPr>
              <w:t>分；本项满分</w:t>
            </w:r>
            <w:r>
              <w:rPr>
                <w:rFonts w:hint="eastAsia"/>
                <w:sz w:val="21"/>
                <w:szCs w:val="21"/>
                <w:highlight w:val="none"/>
                <w:lang w:val="en-US" w:eastAsia="zh-CN"/>
              </w:rPr>
              <w:t>15</w:t>
            </w:r>
            <w:r>
              <w:rPr>
                <w:rFonts w:hint="default"/>
                <w:sz w:val="21"/>
                <w:szCs w:val="21"/>
                <w:highlight w:val="none"/>
                <w:lang w:val="en-US"/>
              </w:rPr>
              <w:t>分。</w:t>
            </w:r>
          </w:p>
          <w:p>
            <w:pPr>
              <w:spacing w:before="181" w:line="377" w:lineRule="auto"/>
              <w:ind w:left="113" w:right="105"/>
              <w:jc w:val="left"/>
              <w:rPr>
                <w:rFonts w:hint="default"/>
                <w:sz w:val="21"/>
                <w:szCs w:val="21"/>
                <w:highlight w:val="none"/>
                <w:lang w:val="en-US"/>
              </w:rPr>
            </w:pPr>
            <w:r>
              <w:rPr>
                <w:rFonts w:hint="default"/>
                <w:sz w:val="21"/>
                <w:szCs w:val="21"/>
                <w:highlight w:val="none"/>
                <w:lang w:val="en-US"/>
              </w:rPr>
              <w:t>注：响应文件中须提供合同及其他可以证明业绩时间、类别的证明材料。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pPr>
              <w:spacing w:before="181" w:line="377" w:lineRule="auto"/>
              <w:ind w:left="113" w:right="105"/>
              <w:rPr>
                <w:rFonts w:hint="eastAsia"/>
                <w:sz w:val="21"/>
                <w:szCs w:val="21"/>
                <w:highlight w:val="none"/>
              </w:rPr>
            </w:pPr>
          </w:p>
        </w:tc>
        <w:tc>
          <w:tcPr>
            <w:tcW w:w="0" w:type="auto"/>
            <w:vAlign w:val="center"/>
          </w:tcPr>
          <w:p>
            <w:pPr>
              <w:keepNext w:val="0"/>
              <w:keepLines w:val="0"/>
              <w:widowControl/>
              <w:suppressLineNumbers w:val="0"/>
              <w:spacing w:line="240" w:lineRule="auto"/>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人员配备（0-</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w:t>
            </w:r>
          </w:p>
        </w:tc>
        <w:tc>
          <w:tcPr>
            <w:tcW w:w="0" w:type="auto"/>
            <w:vAlign w:val="center"/>
          </w:tcPr>
          <w:p>
            <w:pPr>
              <w:spacing w:before="181" w:line="240" w:lineRule="auto"/>
              <w:ind w:left="113" w:right="105"/>
              <w:rPr>
                <w:rFonts w:hint="default"/>
                <w:sz w:val="21"/>
                <w:szCs w:val="21"/>
                <w:highlight w:val="none"/>
                <w:lang w:val="en-US"/>
              </w:rPr>
            </w:pPr>
            <w:r>
              <w:rPr>
                <w:rFonts w:hint="default"/>
                <w:sz w:val="21"/>
                <w:szCs w:val="21"/>
                <w:highlight w:val="none"/>
                <w:lang w:val="en-US"/>
              </w:rPr>
              <w:t>项目主审</w:t>
            </w:r>
            <w:r>
              <w:rPr>
                <w:rFonts w:hint="eastAsia"/>
                <w:sz w:val="21"/>
                <w:szCs w:val="21"/>
                <w:highlight w:val="none"/>
                <w:lang w:val="en-US" w:eastAsia="zh-CN"/>
              </w:rPr>
              <w:t>：</w:t>
            </w:r>
            <w:r>
              <w:rPr>
                <w:rFonts w:hint="default"/>
                <w:sz w:val="21"/>
                <w:szCs w:val="21"/>
                <w:highlight w:val="none"/>
                <w:lang w:val="en-US"/>
              </w:rPr>
              <w:t>具备</w:t>
            </w:r>
            <w:r>
              <w:rPr>
                <w:rFonts w:hint="eastAsia"/>
                <w:sz w:val="21"/>
                <w:szCs w:val="21"/>
                <w:highlight w:val="none"/>
                <w:lang w:val="en-US" w:eastAsia="zh-CN"/>
              </w:rPr>
              <w:t>二</w:t>
            </w:r>
            <w:r>
              <w:rPr>
                <w:rFonts w:hint="default"/>
                <w:sz w:val="21"/>
                <w:szCs w:val="21"/>
                <w:highlight w:val="none"/>
                <w:lang w:val="en-US"/>
              </w:rPr>
              <w:t>级</w:t>
            </w:r>
            <w:r>
              <w:rPr>
                <w:rFonts w:hint="eastAsia"/>
                <w:sz w:val="21"/>
                <w:szCs w:val="21"/>
                <w:highlight w:val="none"/>
                <w:lang w:val="en-US" w:eastAsia="zh-CN"/>
              </w:rPr>
              <w:t>及以上</w:t>
            </w:r>
            <w:r>
              <w:rPr>
                <w:rFonts w:hint="default"/>
                <w:sz w:val="21"/>
                <w:szCs w:val="21"/>
                <w:highlight w:val="none"/>
                <w:lang w:val="en-US"/>
              </w:rPr>
              <w:t>注册造价工程师执业资格得</w:t>
            </w:r>
            <w:r>
              <w:rPr>
                <w:rFonts w:hint="eastAsia"/>
                <w:sz w:val="21"/>
                <w:szCs w:val="21"/>
                <w:highlight w:val="none"/>
                <w:lang w:val="en-US" w:eastAsia="zh-CN"/>
              </w:rPr>
              <w:t>5</w:t>
            </w:r>
            <w:r>
              <w:rPr>
                <w:rFonts w:hint="default"/>
                <w:sz w:val="21"/>
                <w:szCs w:val="21"/>
                <w:highlight w:val="none"/>
                <w:lang w:val="en-US"/>
              </w:rPr>
              <w:t>分；不具备不得分。</w:t>
            </w:r>
          </w:p>
          <w:p>
            <w:pPr>
              <w:spacing w:before="181" w:line="240" w:lineRule="auto"/>
              <w:ind w:left="113" w:right="105"/>
              <w:rPr>
                <w:rFonts w:hint="eastAsia" w:eastAsia="宋体"/>
                <w:sz w:val="21"/>
                <w:szCs w:val="21"/>
                <w:highlight w:val="none"/>
                <w:lang w:val="en-US" w:eastAsia="zh-CN"/>
              </w:rPr>
            </w:pPr>
            <w:r>
              <w:rPr>
                <w:rFonts w:hint="default"/>
                <w:sz w:val="21"/>
                <w:szCs w:val="21"/>
                <w:highlight w:val="none"/>
                <w:lang w:val="en-US"/>
              </w:rPr>
              <w:t>注：项目负责人与项目主审不允许兼任。提供人员证书扫描件或复印件</w:t>
            </w:r>
            <w:r>
              <w:rPr>
                <w:rFonts w:hint="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0" w:type="auto"/>
            <w:vAlign w:val="center"/>
          </w:tcPr>
          <w:p>
            <w:pPr>
              <w:spacing w:before="181" w:line="240" w:lineRule="auto"/>
              <w:ind w:left="113" w:right="105"/>
              <w:rPr>
                <w:rFonts w:hint="eastAsia"/>
                <w:sz w:val="21"/>
                <w:szCs w:val="21"/>
                <w:highlight w:val="none"/>
                <w:lang w:val="en-US" w:eastAsia="zh-CN"/>
              </w:rPr>
            </w:pPr>
            <w:r>
              <w:rPr>
                <w:rFonts w:hint="eastAsia"/>
                <w:sz w:val="21"/>
                <w:szCs w:val="21"/>
                <w:highlight w:val="none"/>
                <w:lang w:val="en-US" w:eastAsia="zh-CN"/>
              </w:rPr>
              <w:t>价格分</w:t>
            </w:r>
            <w:r>
              <w:rPr>
                <w:rFonts w:hint="eastAsia" w:asciiTheme="minorEastAsia" w:hAnsiTheme="minorEastAsia" w:eastAsiaTheme="minorEastAsia" w:cstheme="minorEastAsia"/>
                <w:sz w:val="21"/>
                <w:szCs w:val="21"/>
                <w:highlight w:val="none"/>
                <w:lang w:eastAsia="en-US"/>
              </w:rPr>
              <w:t>（</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lang w:eastAsia="en-US"/>
              </w:rPr>
              <w:t>）</w:t>
            </w:r>
          </w:p>
        </w:tc>
        <w:tc>
          <w:tcPr>
            <w:tcW w:w="0" w:type="auto"/>
            <w:gridSpan w:val="2"/>
            <w:vAlign w:val="center"/>
          </w:tcPr>
          <w:p>
            <w:pPr>
              <w:spacing w:before="181" w:line="240" w:lineRule="auto"/>
              <w:ind w:left="113" w:right="105"/>
              <w:rPr>
                <w:rFonts w:hint="eastAsia" w:ascii="宋体" w:hAnsi="宋体" w:eastAsia="宋体" w:cs="宋体"/>
                <w:sz w:val="21"/>
                <w:szCs w:val="21"/>
                <w:highlight w:val="none"/>
              </w:rPr>
            </w:pPr>
            <w:r>
              <w:rPr>
                <w:rFonts w:hint="eastAsia"/>
                <w:sz w:val="21"/>
                <w:szCs w:val="21"/>
                <w:highlight w:val="none"/>
              </w:rPr>
              <w:t>价格分统一</w:t>
            </w:r>
            <w:r>
              <w:rPr>
                <w:rFonts w:hint="eastAsia" w:ascii="宋体" w:hAnsi="宋体" w:eastAsia="宋体" w:cs="宋体"/>
                <w:sz w:val="21"/>
                <w:szCs w:val="21"/>
                <w:highlight w:val="none"/>
              </w:rPr>
              <w:t>采用低价优先法，即满足磋商文件要求且价格最低的最后报价为评标基准价，其价格分为满分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分。其他供应商的价格分统一按照下列公式计算：</w:t>
            </w:r>
          </w:p>
          <w:p>
            <w:pPr>
              <w:spacing w:before="181" w:line="240" w:lineRule="auto"/>
              <w:ind w:left="113" w:right="105"/>
              <w:rPr>
                <w:rFonts w:hint="eastAsia"/>
                <w:sz w:val="21"/>
                <w:szCs w:val="21"/>
                <w:highlight w:val="none"/>
              </w:rPr>
            </w:pPr>
            <w:r>
              <w:rPr>
                <w:rFonts w:hint="eastAsia" w:ascii="宋体" w:hAnsi="宋体" w:eastAsia="宋体" w:cs="宋体"/>
                <w:sz w:val="21"/>
                <w:szCs w:val="21"/>
                <w:highlight w:val="none"/>
              </w:rPr>
              <w:t>最后报价得分＝（评标基准价/最后报价）×</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％×100</w:t>
            </w:r>
          </w:p>
        </w:tc>
      </w:tr>
    </w:tbl>
    <w:p>
      <w:pPr>
        <w:pStyle w:val="27"/>
        <w:tabs>
          <w:tab w:val="left" w:pos="834"/>
          <w:tab w:val="left" w:pos="1330"/>
          <w:tab w:val="left" w:pos="4435"/>
        </w:tabs>
        <w:spacing w:before="160" w:after="6" w:line="360" w:lineRule="auto"/>
        <w:ind w:left="668" w:right="371" w:firstLine="0"/>
        <w:rPr>
          <w:sz w:val="21"/>
          <w:szCs w:val="21"/>
          <w:highlight w:val="none"/>
          <w:lang w:val="en-US"/>
        </w:rPr>
      </w:pPr>
    </w:p>
    <w:p>
      <w:pPr>
        <w:pStyle w:val="27"/>
        <w:numPr>
          <w:ilvl w:val="2"/>
          <w:numId w:val="20"/>
        </w:numPr>
        <w:tabs>
          <w:tab w:val="left" w:pos="1330"/>
        </w:tabs>
        <w:spacing w:line="360" w:lineRule="auto"/>
        <w:ind w:left="1329" w:hanging="661"/>
        <w:jc w:val="both"/>
        <w:rPr>
          <w:sz w:val="21"/>
          <w:szCs w:val="21"/>
          <w:highlight w:val="none"/>
        </w:rPr>
      </w:pPr>
      <w:r>
        <w:rPr>
          <w:sz w:val="21"/>
          <w:szCs w:val="21"/>
          <w:highlight w:val="none"/>
        </w:rPr>
        <w:t>分值汇总</w:t>
      </w:r>
    </w:p>
    <w:p>
      <w:pPr>
        <w:pStyle w:val="27"/>
        <w:numPr>
          <w:ilvl w:val="0"/>
          <w:numId w:val="22"/>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pPr>
        <w:pStyle w:val="27"/>
        <w:numPr>
          <w:ilvl w:val="0"/>
          <w:numId w:val="22"/>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pPr>
        <w:spacing w:line="360" w:lineRule="auto"/>
        <w:rPr>
          <w:rFonts w:ascii="宋体" w:hAnsi="宋体"/>
          <w:highlight w:val="none"/>
        </w:rPr>
      </w:pPr>
    </w:p>
    <w:p>
      <w:pPr>
        <w:widowControl/>
        <w:spacing w:line="360" w:lineRule="auto"/>
        <w:jc w:val="left"/>
        <w:rPr>
          <w:rFonts w:ascii="宋体" w:hAnsi="宋体"/>
          <w:highlight w:val="none"/>
        </w:rPr>
      </w:pPr>
      <w:r>
        <w:rPr>
          <w:rFonts w:ascii="宋体" w:hAnsi="宋体"/>
          <w:highlight w:val="none"/>
        </w:rPr>
        <w:br w:type="page"/>
      </w:r>
    </w:p>
    <w:p>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3" w:name="_Toc15159"/>
      <w:r>
        <w:rPr>
          <w:rFonts w:hint="eastAsia" w:ascii="宋体" w:hAnsi="宋体"/>
          <w:sz w:val="32"/>
          <w:szCs w:val="32"/>
          <w:highlight w:val="none"/>
        </w:rPr>
        <w:t>采购合同</w:t>
      </w:r>
      <w:bookmarkEnd w:id="63"/>
    </w:p>
    <w:p>
      <w:pPr>
        <w:pStyle w:val="10"/>
        <w:rPr>
          <w:b/>
          <w:sz w:val="32"/>
          <w:highlight w:val="none"/>
        </w:rPr>
      </w:pPr>
    </w:p>
    <w:p>
      <w:pPr>
        <w:pStyle w:val="10"/>
        <w:spacing w:before="10"/>
        <w:rPr>
          <w:b/>
          <w:sz w:val="32"/>
          <w:highlight w:val="none"/>
        </w:rPr>
      </w:pPr>
    </w:p>
    <w:p>
      <w:pPr>
        <w:pStyle w:val="6"/>
        <w:spacing w:before="0"/>
        <w:ind w:left="1367" w:right="1503"/>
        <w:jc w:val="center"/>
        <w:rPr>
          <w:sz w:val="21"/>
          <w:szCs w:val="21"/>
          <w:highlight w:val="none"/>
        </w:rPr>
      </w:pPr>
      <w:r>
        <w:rPr>
          <w:spacing w:val="-1"/>
          <w:sz w:val="21"/>
          <w:szCs w:val="21"/>
          <w:highlight w:val="none"/>
        </w:rPr>
        <w:t>第一部分 合同书</w:t>
      </w:r>
    </w:p>
    <w:p>
      <w:pPr>
        <w:pStyle w:val="10"/>
        <w:rPr>
          <w:b/>
          <w:sz w:val="21"/>
          <w:szCs w:val="21"/>
          <w:highlight w:val="none"/>
        </w:rPr>
      </w:pPr>
    </w:p>
    <w:p>
      <w:pPr>
        <w:pStyle w:val="10"/>
        <w:rPr>
          <w:b/>
          <w:sz w:val="21"/>
          <w:szCs w:val="21"/>
          <w:highlight w:val="none"/>
        </w:rPr>
      </w:pPr>
    </w:p>
    <w:p>
      <w:pPr>
        <w:pStyle w:val="10"/>
        <w:rPr>
          <w:b/>
          <w:sz w:val="21"/>
          <w:szCs w:val="21"/>
          <w:highlight w:val="none"/>
        </w:rPr>
      </w:pPr>
    </w:p>
    <w:p>
      <w:pPr>
        <w:pStyle w:val="10"/>
        <w:rPr>
          <w:b/>
          <w:sz w:val="21"/>
          <w:szCs w:val="21"/>
          <w:highlight w:val="none"/>
        </w:rPr>
      </w:pPr>
    </w:p>
    <w:p>
      <w:pPr>
        <w:pStyle w:val="10"/>
        <w:rPr>
          <w:b/>
          <w:sz w:val="21"/>
          <w:szCs w:val="21"/>
          <w:highlight w:val="none"/>
        </w:rPr>
      </w:pPr>
    </w:p>
    <w:p>
      <w:pPr>
        <w:pStyle w:val="10"/>
        <w:rPr>
          <w:b/>
          <w:sz w:val="21"/>
          <w:szCs w:val="21"/>
          <w:highlight w:val="none"/>
        </w:rPr>
      </w:pPr>
    </w:p>
    <w:p>
      <w:pPr>
        <w:pStyle w:val="10"/>
        <w:spacing w:before="5"/>
        <w:rPr>
          <w:b/>
          <w:sz w:val="21"/>
          <w:szCs w:val="21"/>
          <w:highlight w:val="none"/>
        </w:rPr>
      </w:pPr>
    </w:p>
    <w:p>
      <w:pPr>
        <w:spacing w:before="1"/>
        <w:ind w:left="330" w:right="135"/>
        <w:jc w:val="center"/>
        <w:rPr>
          <w:rFonts w:ascii="宋体" w:hAnsi="宋体"/>
          <w:highlight w:val="none"/>
        </w:rPr>
      </w:pPr>
      <w:r>
        <w:rPr>
          <w:rFonts w:ascii="宋体" w:hAnsi="宋体"/>
          <w:highlight w:val="none"/>
        </w:rPr>
        <w:t>项目名称：</w:t>
      </w:r>
      <w:r>
        <w:rPr>
          <w:rFonts w:ascii="宋体" w:hAnsi="宋体"/>
          <w:highlight w:val="none"/>
          <w:u w:val="single"/>
        </w:rPr>
        <w:t>某项目</w:t>
      </w:r>
      <w:r>
        <w:rPr>
          <w:rFonts w:ascii="宋体" w:hAnsi="宋体"/>
          <w:highlight w:val="none"/>
        </w:rPr>
        <w:t>（分包项目须填写完整的分包号及分包名称）</w:t>
      </w:r>
    </w:p>
    <w:p>
      <w:pPr>
        <w:pStyle w:val="10"/>
        <w:spacing w:before="8"/>
        <w:rPr>
          <w:sz w:val="21"/>
          <w:szCs w:val="21"/>
          <w:highlight w:val="none"/>
        </w:rPr>
      </w:pPr>
    </w:p>
    <w:p>
      <w:pPr>
        <w:pStyle w:val="10"/>
        <w:spacing w:before="67"/>
        <w:ind w:left="1180" w:firstLine="420" w:firstLineChars="200"/>
        <w:rPr>
          <w:sz w:val="21"/>
          <w:szCs w:val="21"/>
          <w:highlight w:val="none"/>
        </w:rPr>
      </w:pPr>
      <w:r>
        <w:rPr>
          <w:sz w:val="21"/>
          <w:szCs w:val="21"/>
          <w:highlight w:val="none"/>
        </w:rPr>
        <w:t>项目编号：</w:t>
      </w:r>
      <w:r>
        <w:rPr>
          <w:sz w:val="21"/>
          <w:szCs w:val="21"/>
          <w:highlight w:val="none"/>
          <w:u w:val="single"/>
        </w:rPr>
        <w:t>某编号</w:t>
      </w:r>
    </w:p>
    <w:p>
      <w:pPr>
        <w:pStyle w:val="10"/>
        <w:spacing w:before="3"/>
        <w:rPr>
          <w:sz w:val="21"/>
          <w:szCs w:val="21"/>
          <w:highlight w:val="none"/>
        </w:rPr>
      </w:pPr>
    </w:p>
    <w:p>
      <w:pPr>
        <w:pStyle w:val="10"/>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pPr>
        <w:pStyle w:val="10"/>
        <w:rPr>
          <w:sz w:val="21"/>
          <w:szCs w:val="21"/>
          <w:highlight w:val="none"/>
        </w:rPr>
      </w:pPr>
    </w:p>
    <w:p>
      <w:pPr>
        <w:pStyle w:val="10"/>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pPr>
        <w:pStyle w:val="10"/>
        <w:rPr>
          <w:sz w:val="21"/>
          <w:szCs w:val="21"/>
          <w:highlight w:val="none"/>
        </w:rPr>
      </w:pPr>
    </w:p>
    <w:p>
      <w:pPr>
        <w:pStyle w:val="10"/>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pPr>
        <w:pStyle w:val="10"/>
        <w:rPr>
          <w:sz w:val="21"/>
          <w:szCs w:val="21"/>
          <w:highlight w:val="none"/>
        </w:rPr>
      </w:pPr>
    </w:p>
    <w:p>
      <w:pPr>
        <w:pStyle w:val="10"/>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pPr>
        <w:pStyle w:val="10"/>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pPr>
        <w:pStyle w:val="6"/>
        <w:numPr>
          <w:ilvl w:val="1"/>
          <w:numId w:val="23"/>
        </w:numPr>
        <w:tabs>
          <w:tab w:val="left" w:pos="1142"/>
        </w:tabs>
        <w:spacing w:before="2" w:line="360" w:lineRule="auto"/>
        <w:rPr>
          <w:sz w:val="21"/>
          <w:szCs w:val="21"/>
          <w:highlight w:val="none"/>
        </w:rPr>
      </w:pPr>
      <w:r>
        <w:rPr>
          <w:sz w:val="21"/>
          <w:szCs w:val="21"/>
          <w:highlight w:val="none"/>
        </w:rPr>
        <w:t>合同组成部分</w:t>
      </w:r>
    </w:p>
    <w:p>
      <w:pPr>
        <w:pStyle w:val="10"/>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pPr>
        <w:pStyle w:val="26"/>
        <w:numPr>
          <w:ilvl w:val="2"/>
          <w:numId w:val="23"/>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pPr>
        <w:pStyle w:val="26"/>
        <w:numPr>
          <w:ilvl w:val="2"/>
          <w:numId w:val="23"/>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pPr>
        <w:pStyle w:val="26"/>
        <w:numPr>
          <w:ilvl w:val="2"/>
          <w:numId w:val="23"/>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pPr>
        <w:pStyle w:val="26"/>
        <w:numPr>
          <w:ilvl w:val="2"/>
          <w:numId w:val="23"/>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pPr>
        <w:pStyle w:val="26"/>
        <w:numPr>
          <w:ilvl w:val="2"/>
          <w:numId w:val="23"/>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pPr>
        <w:pStyle w:val="6"/>
        <w:numPr>
          <w:ilvl w:val="1"/>
          <w:numId w:val="23"/>
        </w:numPr>
        <w:tabs>
          <w:tab w:val="left" w:pos="1142"/>
        </w:tabs>
        <w:spacing w:before="161" w:line="360" w:lineRule="auto"/>
        <w:rPr>
          <w:sz w:val="21"/>
          <w:szCs w:val="21"/>
          <w:highlight w:val="none"/>
        </w:rPr>
      </w:pPr>
      <w:r>
        <w:rPr>
          <w:sz w:val="21"/>
          <w:szCs w:val="21"/>
          <w:highlight w:val="none"/>
        </w:rPr>
        <w:t>服务</w:t>
      </w:r>
    </w:p>
    <w:p>
      <w:pPr>
        <w:pStyle w:val="26"/>
        <w:numPr>
          <w:ilvl w:val="2"/>
          <w:numId w:val="23"/>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26"/>
        <w:numPr>
          <w:ilvl w:val="2"/>
          <w:numId w:val="23"/>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26"/>
        <w:numPr>
          <w:ilvl w:val="2"/>
          <w:numId w:val="23"/>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6"/>
        <w:numPr>
          <w:ilvl w:val="1"/>
          <w:numId w:val="23"/>
        </w:numPr>
        <w:tabs>
          <w:tab w:val="left" w:pos="1142"/>
        </w:tabs>
        <w:spacing w:before="161" w:line="360" w:lineRule="auto"/>
        <w:rPr>
          <w:sz w:val="21"/>
          <w:szCs w:val="21"/>
          <w:highlight w:val="none"/>
        </w:rPr>
      </w:pPr>
      <w:r>
        <w:rPr>
          <w:sz w:val="21"/>
          <w:szCs w:val="21"/>
          <w:highlight w:val="none"/>
        </w:rPr>
        <w:t>价款</w:t>
      </w:r>
    </w:p>
    <w:p>
      <w:pPr>
        <w:pStyle w:val="10"/>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25"/>
              <w:spacing w:before="28"/>
              <w:ind w:left="217" w:right="211"/>
              <w:jc w:val="center"/>
              <w:rPr>
                <w:sz w:val="24"/>
                <w:highlight w:val="none"/>
                <w:lang w:eastAsia="en-US"/>
              </w:rPr>
            </w:pPr>
            <w:r>
              <w:rPr>
                <w:sz w:val="24"/>
                <w:highlight w:val="none"/>
                <w:lang w:eastAsia="en-US"/>
              </w:rPr>
              <w:t>序号</w:t>
            </w:r>
          </w:p>
        </w:tc>
        <w:tc>
          <w:tcPr>
            <w:tcW w:w="4317" w:type="dxa"/>
          </w:tcPr>
          <w:p>
            <w:pPr>
              <w:pStyle w:val="25"/>
              <w:spacing w:before="28"/>
              <w:ind w:left="1755" w:right="1551"/>
              <w:jc w:val="center"/>
              <w:rPr>
                <w:sz w:val="24"/>
                <w:highlight w:val="none"/>
                <w:lang w:eastAsia="en-US"/>
              </w:rPr>
            </w:pPr>
            <w:r>
              <w:rPr>
                <w:sz w:val="24"/>
                <w:highlight w:val="none"/>
                <w:lang w:eastAsia="en-US"/>
              </w:rPr>
              <w:t>分项名称</w:t>
            </w:r>
          </w:p>
        </w:tc>
        <w:tc>
          <w:tcPr>
            <w:tcW w:w="3239" w:type="dxa"/>
          </w:tcPr>
          <w:p>
            <w:pPr>
              <w:pStyle w:val="25"/>
              <w:spacing w:before="28"/>
              <w:ind w:left="1116" w:right="1113"/>
              <w:jc w:val="center"/>
              <w:rPr>
                <w:sz w:val="24"/>
                <w:highlight w:val="none"/>
                <w:lang w:eastAsia="en-US"/>
              </w:rPr>
            </w:pPr>
            <w:r>
              <w:rPr>
                <w:sz w:val="24"/>
                <w:highlight w:val="none"/>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25"/>
              <w:spacing w:line="307" w:lineRule="exact"/>
              <w:ind w:left="6"/>
              <w:jc w:val="center"/>
              <w:rPr>
                <w:sz w:val="24"/>
                <w:highlight w:val="none"/>
                <w:lang w:eastAsia="en-US"/>
              </w:rPr>
            </w:pPr>
            <w:r>
              <w:rPr>
                <w:sz w:val="24"/>
                <w:highlight w:val="none"/>
                <w:lang w:eastAsia="en-US"/>
              </w:rPr>
              <w:t>1</w:t>
            </w:r>
          </w:p>
        </w:tc>
        <w:tc>
          <w:tcPr>
            <w:tcW w:w="4317" w:type="dxa"/>
          </w:tcPr>
          <w:p>
            <w:pPr>
              <w:pStyle w:val="25"/>
              <w:rPr>
                <w:rFonts w:ascii="Times New Roman"/>
                <w:highlight w:val="none"/>
                <w:lang w:eastAsia="en-US"/>
              </w:rPr>
            </w:pPr>
          </w:p>
        </w:tc>
        <w:tc>
          <w:tcPr>
            <w:tcW w:w="3239" w:type="dxa"/>
          </w:tcPr>
          <w:p>
            <w:pPr>
              <w:pStyle w:val="25"/>
              <w:rPr>
                <w:rFonts w:ascii="Times New Roman"/>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25"/>
              <w:ind w:left="6"/>
              <w:jc w:val="center"/>
              <w:rPr>
                <w:sz w:val="24"/>
                <w:highlight w:val="none"/>
                <w:lang w:eastAsia="en-US"/>
              </w:rPr>
            </w:pPr>
            <w:r>
              <w:rPr>
                <w:sz w:val="24"/>
                <w:highlight w:val="none"/>
                <w:lang w:eastAsia="en-US"/>
              </w:rPr>
              <w:t>2</w:t>
            </w:r>
          </w:p>
        </w:tc>
        <w:tc>
          <w:tcPr>
            <w:tcW w:w="4317" w:type="dxa"/>
          </w:tcPr>
          <w:p>
            <w:pPr>
              <w:pStyle w:val="25"/>
              <w:rPr>
                <w:rFonts w:ascii="Times New Roman"/>
                <w:highlight w:val="none"/>
                <w:lang w:eastAsia="en-US"/>
              </w:rPr>
            </w:pPr>
          </w:p>
        </w:tc>
        <w:tc>
          <w:tcPr>
            <w:tcW w:w="3239" w:type="dxa"/>
          </w:tcPr>
          <w:p>
            <w:pPr>
              <w:pStyle w:val="25"/>
              <w:rPr>
                <w:rFonts w:ascii="Times New Roman"/>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25"/>
              <w:spacing w:line="307" w:lineRule="exact"/>
              <w:ind w:left="6"/>
              <w:jc w:val="center"/>
              <w:rPr>
                <w:sz w:val="24"/>
                <w:highlight w:val="none"/>
                <w:lang w:eastAsia="en-US"/>
              </w:rPr>
            </w:pPr>
            <w:r>
              <w:rPr>
                <w:sz w:val="24"/>
                <w:highlight w:val="none"/>
                <w:lang w:eastAsia="en-US"/>
              </w:rPr>
              <w:t>3</w:t>
            </w:r>
          </w:p>
        </w:tc>
        <w:tc>
          <w:tcPr>
            <w:tcW w:w="4317" w:type="dxa"/>
          </w:tcPr>
          <w:p>
            <w:pPr>
              <w:pStyle w:val="25"/>
              <w:rPr>
                <w:rFonts w:ascii="Times New Roman"/>
                <w:highlight w:val="none"/>
                <w:lang w:eastAsia="en-US"/>
              </w:rPr>
            </w:pPr>
          </w:p>
        </w:tc>
        <w:tc>
          <w:tcPr>
            <w:tcW w:w="3239" w:type="dxa"/>
          </w:tcPr>
          <w:p>
            <w:pPr>
              <w:pStyle w:val="25"/>
              <w:rPr>
                <w:rFonts w:ascii="Times New Roman"/>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25"/>
              <w:spacing w:line="307" w:lineRule="exact"/>
              <w:ind w:left="217" w:right="211"/>
              <w:jc w:val="center"/>
              <w:rPr>
                <w:sz w:val="24"/>
                <w:highlight w:val="none"/>
                <w:lang w:eastAsia="en-US"/>
              </w:rPr>
            </w:pPr>
            <w:r>
              <w:rPr>
                <w:w w:val="200"/>
                <w:sz w:val="24"/>
                <w:highlight w:val="none"/>
                <w:lang w:eastAsia="en-US"/>
              </w:rPr>
              <w:t>„„</w:t>
            </w:r>
          </w:p>
        </w:tc>
        <w:tc>
          <w:tcPr>
            <w:tcW w:w="4317" w:type="dxa"/>
          </w:tcPr>
          <w:p>
            <w:pPr>
              <w:pStyle w:val="25"/>
              <w:rPr>
                <w:rFonts w:ascii="Times New Roman"/>
                <w:highlight w:val="none"/>
                <w:lang w:eastAsia="en-US"/>
              </w:rPr>
            </w:pPr>
          </w:p>
        </w:tc>
        <w:tc>
          <w:tcPr>
            <w:tcW w:w="3239" w:type="dxa"/>
          </w:tcPr>
          <w:p>
            <w:pPr>
              <w:pStyle w:val="25"/>
              <w:rPr>
                <w:rFonts w:ascii="Times New Roman"/>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pPr>
              <w:pStyle w:val="25"/>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pPr>
              <w:pStyle w:val="25"/>
              <w:rPr>
                <w:rFonts w:ascii="Times New Roman"/>
                <w:highlight w:val="none"/>
                <w:lang w:eastAsia="en-US"/>
              </w:rPr>
            </w:pPr>
          </w:p>
        </w:tc>
      </w:tr>
    </w:tbl>
    <w:p>
      <w:pPr>
        <w:pStyle w:val="10"/>
        <w:spacing w:line="360" w:lineRule="auto"/>
        <w:rPr>
          <w:sz w:val="21"/>
          <w:szCs w:val="21"/>
          <w:highlight w:val="none"/>
        </w:rPr>
      </w:pPr>
    </w:p>
    <w:p>
      <w:pPr>
        <w:pStyle w:val="10"/>
        <w:spacing w:before="6" w:line="360" w:lineRule="auto"/>
        <w:rPr>
          <w:sz w:val="21"/>
          <w:szCs w:val="21"/>
          <w:highlight w:val="none"/>
        </w:rPr>
      </w:pPr>
    </w:p>
    <w:p>
      <w:pPr>
        <w:pStyle w:val="6"/>
        <w:numPr>
          <w:ilvl w:val="1"/>
          <w:numId w:val="23"/>
        </w:numPr>
        <w:tabs>
          <w:tab w:val="left" w:pos="1142"/>
        </w:tabs>
        <w:spacing w:before="0" w:line="360" w:lineRule="auto"/>
        <w:rPr>
          <w:sz w:val="21"/>
          <w:szCs w:val="21"/>
          <w:highlight w:val="none"/>
        </w:rPr>
      </w:pPr>
      <w:r>
        <w:rPr>
          <w:sz w:val="21"/>
          <w:szCs w:val="21"/>
          <w:highlight w:val="none"/>
        </w:rPr>
        <w:t>付款方式和发票开具方式</w:t>
      </w:r>
    </w:p>
    <w:p>
      <w:pPr>
        <w:pStyle w:val="26"/>
        <w:numPr>
          <w:ilvl w:val="2"/>
          <w:numId w:val="23"/>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pPr>
        <w:pStyle w:val="26"/>
        <w:numPr>
          <w:ilvl w:val="2"/>
          <w:numId w:val="23"/>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6"/>
        <w:numPr>
          <w:ilvl w:val="1"/>
          <w:numId w:val="23"/>
        </w:numPr>
        <w:tabs>
          <w:tab w:val="left" w:pos="1142"/>
        </w:tabs>
        <w:spacing w:before="160" w:line="360" w:lineRule="auto"/>
        <w:rPr>
          <w:sz w:val="21"/>
          <w:szCs w:val="21"/>
          <w:highlight w:val="none"/>
        </w:rPr>
      </w:pPr>
      <w:r>
        <w:rPr>
          <w:sz w:val="21"/>
          <w:szCs w:val="21"/>
          <w:highlight w:val="none"/>
        </w:rPr>
        <w:t>服务期限、地点和方式</w:t>
      </w:r>
    </w:p>
    <w:p>
      <w:pPr>
        <w:pStyle w:val="26"/>
        <w:numPr>
          <w:ilvl w:val="2"/>
          <w:numId w:val="23"/>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26"/>
        <w:numPr>
          <w:ilvl w:val="2"/>
          <w:numId w:val="23"/>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26"/>
        <w:numPr>
          <w:ilvl w:val="2"/>
          <w:numId w:val="23"/>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pPr>
        <w:pStyle w:val="6"/>
        <w:numPr>
          <w:ilvl w:val="1"/>
          <w:numId w:val="23"/>
        </w:numPr>
        <w:tabs>
          <w:tab w:val="left" w:pos="1142"/>
        </w:tabs>
        <w:spacing w:before="160" w:line="360" w:lineRule="auto"/>
        <w:rPr>
          <w:sz w:val="21"/>
          <w:szCs w:val="21"/>
          <w:highlight w:val="none"/>
        </w:rPr>
      </w:pPr>
      <w:r>
        <w:rPr>
          <w:sz w:val="21"/>
          <w:szCs w:val="21"/>
          <w:highlight w:val="none"/>
        </w:rPr>
        <w:t>违约责任</w:t>
      </w:r>
    </w:p>
    <w:p>
      <w:pPr>
        <w:pStyle w:val="26"/>
        <w:numPr>
          <w:ilvl w:val="2"/>
          <w:numId w:val="23"/>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pPr>
        <w:pStyle w:val="26"/>
        <w:numPr>
          <w:ilvl w:val="2"/>
          <w:numId w:val="23"/>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pPr>
        <w:pStyle w:val="26"/>
        <w:numPr>
          <w:ilvl w:val="2"/>
          <w:numId w:val="23"/>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pPr>
        <w:pStyle w:val="26"/>
        <w:numPr>
          <w:ilvl w:val="2"/>
          <w:numId w:val="23"/>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pPr>
        <w:pStyle w:val="26"/>
        <w:numPr>
          <w:ilvl w:val="2"/>
          <w:numId w:val="23"/>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pPr>
        <w:spacing w:line="360" w:lineRule="auto"/>
        <w:rPr>
          <w:rFonts w:ascii="宋体" w:hAnsi="宋体"/>
          <w:highlight w:val="none"/>
        </w:rPr>
        <w:sectPr>
          <w:pgSz w:w="11910" w:h="16840"/>
          <w:pgMar w:top="1380" w:right="1440" w:bottom="1500" w:left="1580" w:header="877" w:footer="1304" w:gutter="0"/>
          <w:pgNumType w:fmt="decimal"/>
          <w:cols w:space="720" w:num="1"/>
        </w:sectPr>
      </w:pPr>
    </w:p>
    <w:p>
      <w:pPr>
        <w:pStyle w:val="10"/>
        <w:spacing w:before="132" w:line="360" w:lineRule="auto"/>
        <w:rPr>
          <w:sz w:val="21"/>
          <w:szCs w:val="21"/>
          <w:highlight w:val="none"/>
        </w:rPr>
      </w:pPr>
      <w:r>
        <w:rPr>
          <w:sz w:val="21"/>
          <w:szCs w:val="21"/>
          <w:highlight w:val="none"/>
        </w:rPr>
        <w:t>行使的任何权利救济方式均不视为其放弃了其他法定或者约定的权利救济方式；</w:t>
      </w:r>
    </w:p>
    <w:p>
      <w:pPr>
        <w:pStyle w:val="26"/>
        <w:numPr>
          <w:ilvl w:val="2"/>
          <w:numId w:val="23"/>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pPr>
        <w:pStyle w:val="6"/>
        <w:numPr>
          <w:ilvl w:val="1"/>
          <w:numId w:val="23"/>
        </w:numPr>
        <w:tabs>
          <w:tab w:val="left" w:pos="1142"/>
        </w:tabs>
        <w:spacing w:before="2" w:line="360" w:lineRule="auto"/>
        <w:rPr>
          <w:sz w:val="21"/>
          <w:szCs w:val="21"/>
          <w:highlight w:val="none"/>
        </w:rPr>
      </w:pPr>
      <w:r>
        <w:rPr>
          <w:sz w:val="21"/>
          <w:szCs w:val="21"/>
          <w:highlight w:val="none"/>
        </w:rPr>
        <w:t>合同争议的解决</w:t>
      </w:r>
    </w:p>
    <w:p>
      <w:pPr>
        <w:pStyle w:val="10"/>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rFonts w:hint="eastAsia"/>
          <w:sz w:val="21"/>
          <w:szCs w:val="21"/>
          <w:highlight w:val="none"/>
          <w:u w:val="single"/>
          <w:lang w:val="en-US" w:eastAsia="zh-CN"/>
        </w:rPr>
        <w:t xml:space="preserve">1.7.2 </w:t>
      </w:r>
      <w:r>
        <w:rPr>
          <w:sz w:val="21"/>
          <w:szCs w:val="21"/>
          <w:highlight w:val="none"/>
        </w:rPr>
        <w:t>种方式解决：</w:t>
      </w:r>
    </w:p>
    <w:p>
      <w:pPr>
        <w:pStyle w:val="26"/>
        <w:numPr>
          <w:ilvl w:val="2"/>
          <w:numId w:val="23"/>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pPr>
        <w:pStyle w:val="26"/>
        <w:numPr>
          <w:ilvl w:val="2"/>
          <w:numId w:val="23"/>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hint="eastAsia" w:ascii="宋体" w:hAnsi="宋体"/>
          <w:highlight w:val="none"/>
          <w:u w:val="single"/>
          <w:lang w:val="en-US" w:eastAsia="zh-CN"/>
        </w:rPr>
        <w:t xml:space="preserve"> 界首市  </w:t>
      </w:r>
      <w:r>
        <w:rPr>
          <w:rFonts w:ascii="宋体" w:hAnsi="宋体"/>
          <w:highlight w:val="none"/>
        </w:rPr>
        <w:t>人民法院起诉。</w:t>
      </w:r>
    </w:p>
    <w:p>
      <w:pPr>
        <w:pStyle w:val="6"/>
        <w:numPr>
          <w:ilvl w:val="1"/>
          <w:numId w:val="23"/>
        </w:numPr>
        <w:tabs>
          <w:tab w:val="left" w:pos="1142"/>
        </w:tabs>
        <w:spacing w:before="160" w:line="360" w:lineRule="auto"/>
        <w:rPr>
          <w:sz w:val="21"/>
          <w:szCs w:val="21"/>
          <w:highlight w:val="none"/>
        </w:rPr>
      </w:pPr>
      <w:r>
        <w:rPr>
          <w:sz w:val="21"/>
          <w:szCs w:val="21"/>
          <w:highlight w:val="none"/>
        </w:rPr>
        <w:t>合同生效</w:t>
      </w:r>
    </w:p>
    <w:p>
      <w:pPr>
        <w:pStyle w:val="10"/>
        <w:spacing w:before="161" w:line="360" w:lineRule="auto"/>
        <w:ind w:left="654"/>
        <w:rPr>
          <w:sz w:val="21"/>
          <w:szCs w:val="21"/>
          <w:highlight w:val="none"/>
        </w:rPr>
      </w:pPr>
      <w:r>
        <w:rPr>
          <w:sz w:val="21"/>
          <w:szCs w:val="21"/>
          <w:highlight w:val="none"/>
        </w:rPr>
        <w:t>本合同自双方当事人盖章时生效。</w:t>
      </w:r>
    </w:p>
    <w:p>
      <w:pPr>
        <w:pStyle w:val="10"/>
        <w:spacing w:line="360" w:lineRule="auto"/>
        <w:rPr>
          <w:sz w:val="21"/>
          <w:szCs w:val="21"/>
          <w:highlight w:val="none"/>
        </w:rPr>
      </w:pPr>
    </w:p>
    <w:p>
      <w:pPr>
        <w:pStyle w:val="10"/>
        <w:spacing w:line="360" w:lineRule="auto"/>
        <w:rPr>
          <w:sz w:val="21"/>
          <w:szCs w:val="21"/>
          <w:highlight w:val="none"/>
        </w:rPr>
      </w:pPr>
    </w:p>
    <w:p>
      <w:pPr>
        <w:pStyle w:val="10"/>
        <w:spacing w:line="360" w:lineRule="auto"/>
        <w:rPr>
          <w:sz w:val="21"/>
          <w:szCs w:val="21"/>
          <w:highlight w:val="none"/>
        </w:rPr>
      </w:pPr>
    </w:p>
    <w:p>
      <w:pPr>
        <w:pStyle w:val="10"/>
        <w:spacing w:line="360" w:lineRule="auto"/>
        <w:rPr>
          <w:sz w:val="21"/>
          <w:szCs w:val="21"/>
          <w:highlight w:val="none"/>
        </w:rPr>
      </w:pPr>
    </w:p>
    <w:p>
      <w:pPr>
        <w:pStyle w:val="10"/>
        <w:spacing w:line="360" w:lineRule="auto"/>
        <w:rPr>
          <w:sz w:val="21"/>
          <w:szCs w:val="21"/>
          <w:highlight w:val="none"/>
        </w:rPr>
      </w:pPr>
    </w:p>
    <w:p>
      <w:pPr>
        <w:pStyle w:val="10"/>
        <w:spacing w:before="10" w:line="360" w:lineRule="auto"/>
        <w:rPr>
          <w:sz w:val="21"/>
          <w:szCs w:val="21"/>
          <w:highlight w:val="none"/>
        </w:rPr>
      </w:pPr>
    </w:p>
    <w:p>
      <w:pPr>
        <w:pStyle w:val="10"/>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pPr>
        <w:pStyle w:val="10"/>
        <w:spacing w:before="6" w:line="360" w:lineRule="auto"/>
        <w:rPr>
          <w:sz w:val="21"/>
          <w:szCs w:val="21"/>
          <w:highlight w:val="none"/>
        </w:rPr>
      </w:pPr>
    </w:p>
    <w:p>
      <w:pPr>
        <w:pStyle w:val="10"/>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pPr>
        <w:pStyle w:val="10"/>
        <w:spacing w:before="11" w:line="360" w:lineRule="auto"/>
        <w:rPr>
          <w:sz w:val="21"/>
          <w:szCs w:val="21"/>
          <w:highlight w:val="none"/>
        </w:rPr>
      </w:pPr>
    </w:p>
    <w:p>
      <w:pPr>
        <w:pStyle w:val="10"/>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pPr>
        <w:pStyle w:val="10"/>
        <w:spacing w:before="8" w:line="360" w:lineRule="auto"/>
        <w:rPr>
          <w:sz w:val="21"/>
          <w:szCs w:val="21"/>
          <w:highlight w:val="none"/>
        </w:rPr>
      </w:pPr>
    </w:p>
    <w:p>
      <w:pPr>
        <w:pStyle w:val="10"/>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pPr>
        <w:spacing w:line="360" w:lineRule="auto"/>
        <w:rPr>
          <w:rFonts w:ascii="宋体" w:hAnsi="宋体"/>
          <w:highlight w:val="none"/>
        </w:rPr>
        <w:sectPr>
          <w:pgSz w:w="11910" w:h="16840"/>
          <w:pgMar w:top="1380" w:right="1440" w:bottom="1500" w:left="1580" w:header="877" w:footer="1304" w:gutter="0"/>
          <w:pgNumType w:fmt="decimal"/>
          <w:cols w:space="720" w:num="1"/>
        </w:sectPr>
      </w:pPr>
    </w:p>
    <w:p>
      <w:pPr>
        <w:pStyle w:val="6"/>
        <w:spacing w:line="360" w:lineRule="auto"/>
        <w:ind w:left="1367" w:right="1505"/>
        <w:jc w:val="center"/>
        <w:rPr>
          <w:sz w:val="21"/>
          <w:szCs w:val="21"/>
          <w:highlight w:val="none"/>
        </w:rPr>
      </w:pPr>
      <w:r>
        <w:rPr>
          <w:sz w:val="21"/>
          <w:szCs w:val="21"/>
          <w:highlight w:val="none"/>
        </w:rPr>
        <w:t>第二部分 合同一般条款</w:t>
      </w:r>
    </w:p>
    <w:p>
      <w:pPr>
        <w:pStyle w:val="6"/>
        <w:numPr>
          <w:ilvl w:val="1"/>
          <w:numId w:val="24"/>
        </w:numPr>
        <w:tabs>
          <w:tab w:val="left" w:pos="1142"/>
        </w:tabs>
        <w:spacing w:before="160" w:line="360" w:lineRule="auto"/>
        <w:rPr>
          <w:sz w:val="21"/>
          <w:szCs w:val="21"/>
          <w:highlight w:val="none"/>
        </w:rPr>
      </w:pPr>
      <w:r>
        <w:rPr>
          <w:sz w:val="21"/>
          <w:szCs w:val="21"/>
          <w:highlight w:val="none"/>
        </w:rPr>
        <w:t>定义</w:t>
      </w:r>
    </w:p>
    <w:p>
      <w:pPr>
        <w:pStyle w:val="10"/>
        <w:spacing w:before="161" w:line="360" w:lineRule="auto"/>
        <w:ind w:left="654"/>
        <w:rPr>
          <w:sz w:val="21"/>
          <w:szCs w:val="21"/>
          <w:highlight w:val="none"/>
        </w:rPr>
      </w:pPr>
      <w:r>
        <w:rPr>
          <w:sz w:val="21"/>
          <w:szCs w:val="21"/>
          <w:highlight w:val="none"/>
        </w:rPr>
        <w:t>本合同中的下列词语应按以下内容进行解释：</w:t>
      </w:r>
    </w:p>
    <w:p>
      <w:pPr>
        <w:pStyle w:val="26"/>
        <w:numPr>
          <w:ilvl w:val="2"/>
          <w:numId w:val="24"/>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pPr>
        <w:pStyle w:val="26"/>
        <w:numPr>
          <w:ilvl w:val="2"/>
          <w:numId w:val="24"/>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pPr>
        <w:pStyle w:val="26"/>
        <w:numPr>
          <w:ilvl w:val="2"/>
          <w:numId w:val="24"/>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pPr>
        <w:pStyle w:val="26"/>
        <w:numPr>
          <w:ilvl w:val="2"/>
          <w:numId w:val="24"/>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pPr>
        <w:pStyle w:val="26"/>
        <w:numPr>
          <w:ilvl w:val="2"/>
          <w:numId w:val="24"/>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pPr>
        <w:pStyle w:val="26"/>
        <w:numPr>
          <w:ilvl w:val="2"/>
          <w:numId w:val="24"/>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pPr>
        <w:pStyle w:val="6"/>
        <w:numPr>
          <w:ilvl w:val="1"/>
          <w:numId w:val="24"/>
        </w:numPr>
        <w:tabs>
          <w:tab w:val="left" w:pos="1142"/>
        </w:tabs>
        <w:spacing w:before="161" w:line="360" w:lineRule="auto"/>
        <w:rPr>
          <w:sz w:val="21"/>
          <w:szCs w:val="21"/>
          <w:highlight w:val="none"/>
        </w:rPr>
      </w:pPr>
      <w:r>
        <w:rPr>
          <w:sz w:val="21"/>
          <w:szCs w:val="21"/>
          <w:highlight w:val="none"/>
        </w:rPr>
        <w:t>技术规范</w:t>
      </w:r>
    </w:p>
    <w:p>
      <w:pPr>
        <w:pStyle w:val="10"/>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pPr>
        <w:pStyle w:val="6"/>
        <w:numPr>
          <w:ilvl w:val="1"/>
          <w:numId w:val="24"/>
        </w:numPr>
        <w:tabs>
          <w:tab w:val="left" w:pos="1142"/>
        </w:tabs>
        <w:spacing w:before="3" w:line="360" w:lineRule="auto"/>
        <w:rPr>
          <w:sz w:val="21"/>
          <w:szCs w:val="21"/>
          <w:highlight w:val="none"/>
        </w:rPr>
      </w:pPr>
      <w:r>
        <w:rPr>
          <w:sz w:val="21"/>
          <w:szCs w:val="21"/>
          <w:highlight w:val="none"/>
        </w:rPr>
        <w:t>知识产权</w:t>
      </w:r>
    </w:p>
    <w:p>
      <w:pPr>
        <w:pStyle w:val="26"/>
        <w:numPr>
          <w:ilvl w:val="2"/>
          <w:numId w:val="24"/>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pPr>
        <w:pStyle w:val="26"/>
        <w:numPr>
          <w:ilvl w:val="2"/>
          <w:numId w:val="24"/>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pPr>
        <w:pStyle w:val="6"/>
        <w:numPr>
          <w:ilvl w:val="1"/>
          <w:numId w:val="24"/>
        </w:numPr>
        <w:tabs>
          <w:tab w:val="left" w:pos="1142"/>
        </w:tabs>
        <w:spacing w:before="3" w:line="360" w:lineRule="auto"/>
        <w:rPr>
          <w:sz w:val="21"/>
          <w:szCs w:val="21"/>
          <w:highlight w:val="none"/>
        </w:rPr>
      </w:pPr>
      <w:r>
        <w:rPr>
          <w:sz w:val="21"/>
          <w:szCs w:val="21"/>
          <w:highlight w:val="none"/>
        </w:rPr>
        <w:t>履约检查和问题反馈</w:t>
      </w:r>
    </w:p>
    <w:p>
      <w:pPr>
        <w:spacing w:line="360" w:lineRule="auto"/>
        <w:rPr>
          <w:rFonts w:ascii="宋体" w:hAnsi="宋体"/>
          <w:highlight w:val="none"/>
        </w:rPr>
        <w:sectPr>
          <w:pgSz w:w="11910" w:h="16840"/>
          <w:pgMar w:top="1380" w:right="1440" w:bottom="1500" w:left="1580" w:header="877" w:footer="1304" w:gutter="0"/>
          <w:pgNumType w:fmt="decimal"/>
          <w:cols w:space="720" w:num="1"/>
        </w:sectPr>
      </w:pPr>
    </w:p>
    <w:p>
      <w:pPr>
        <w:pStyle w:val="26"/>
        <w:numPr>
          <w:ilvl w:val="2"/>
          <w:numId w:val="24"/>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pPr>
        <w:pStyle w:val="26"/>
        <w:numPr>
          <w:ilvl w:val="2"/>
          <w:numId w:val="24"/>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pPr>
        <w:pStyle w:val="26"/>
        <w:numPr>
          <w:ilvl w:val="1"/>
          <w:numId w:val="24"/>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pPr>
        <w:pStyle w:val="6"/>
        <w:numPr>
          <w:ilvl w:val="1"/>
          <w:numId w:val="24"/>
        </w:numPr>
        <w:tabs>
          <w:tab w:val="left" w:pos="1142"/>
        </w:tabs>
        <w:spacing w:before="1" w:line="360" w:lineRule="auto"/>
        <w:rPr>
          <w:sz w:val="21"/>
          <w:szCs w:val="21"/>
          <w:highlight w:val="none"/>
        </w:rPr>
      </w:pPr>
      <w:r>
        <w:rPr>
          <w:sz w:val="21"/>
          <w:szCs w:val="21"/>
          <w:highlight w:val="none"/>
        </w:rPr>
        <w:t>技术资料和保密义务</w:t>
      </w:r>
    </w:p>
    <w:p>
      <w:pPr>
        <w:pStyle w:val="26"/>
        <w:numPr>
          <w:ilvl w:val="2"/>
          <w:numId w:val="24"/>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pPr>
        <w:pStyle w:val="26"/>
        <w:numPr>
          <w:ilvl w:val="2"/>
          <w:numId w:val="24"/>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pPr>
        <w:pStyle w:val="26"/>
        <w:numPr>
          <w:ilvl w:val="2"/>
          <w:numId w:val="24"/>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pPr>
        <w:pStyle w:val="6"/>
        <w:numPr>
          <w:ilvl w:val="1"/>
          <w:numId w:val="24"/>
        </w:numPr>
        <w:tabs>
          <w:tab w:val="left" w:pos="1142"/>
        </w:tabs>
        <w:spacing w:before="4" w:line="360" w:lineRule="auto"/>
        <w:rPr>
          <w:sz w:val="21"/>
          <w:szCs w:val="21"/>
          <w:highlight w:val="none"/>
        </w:rPr>
      </w:pPr>
      <w:r>
        <w:rPr>
          <w:sz w:val="21"/>
          <w:szCs w:val="21"/>
          <w:highlight w:val="none"/>
        </w:rPr>
        <w:t>质量保证</w:t>
      </w:r>
    </w:p>
    <w:p>
      <w:pPr>
        <w:pStyle w:val="26"/>
        <w:numPr>
          <w:ilvl w:val="2"/>
          <w:numId w:val="24"/>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pPr>
        <w:pStyle w:val="26"/>
        <w:numPr>
          <w:ilvl w:val="2"/>
          <w:numId w:val="24"/>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pPr>
        <w:pStyle w:val="6"/>
        <w:numPr>
          <w:ilvl w:val="1"/>
          <w:numId w:val="24"/>
        </w:numPr>
        <w:tabs>
          <w:tab w:val="left" w:pos="1142"/>
        </w:tabs>
        <w:spacing w:before="2" w:line="360" w:lineRule="auto"/>
        <w:rPr>
          <w:sz w:val="21"/>
          <w:szCs w:val="21"/>
          <w:highlight w:val="none"/>
        </w:rPr>
      </w:pPr>
      <w:r>
        <w:rPr>
          <w:sz w:val="21"/>
          <w:szCs w:val="21"/>
          <w:highlight w:val="none"/>
        </w:rPr>
        <w:t>延迟履行</w:t>
      </w:r>
    </w:p>
    <w:p>
      <w:pPr>
        <w:pStyle w:val="10"/>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pPr>
        <w:pStyle w:val="6"/>
        <w:numPr>
          <w:ilvl w:val="1"/>
          <w:numId w:val="24"/>
        </w:numPr>
        <w:tabs>
          <w:tab w:val="left" w:pos="1142"/>
        </w:tabs>
        <w:spacing w:before="1" w:line="360" w:lineRule="auto"/>
        <w:rPr>
          <w:sz w:val="21"/>
          <w:szCs w:val="21"/>
          <w:highlight w:val="none"/>
        </w:rPr>
      </w:pPr>
      <w:r>
        <w:rPr>
          <w:sz w:val="21"/>
          <w:szCs w:val="21"/>
          <w:highlight w:val="none"/>
        </w:rPr>
        <w:t>合同变更</w:t>
      </w:r>
    </w:p>
    <w:p>
      <w:pPr>
        <w:pStyle w:val="26"/>
        <w:numPr>
          <w:ilvl w:val="2"/>
          <w:numId w:val="24"/>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pPr>
        <w:pStyle w:val="26"/>
        <w:numPr>
          <w:ilvl w:val="2"/>
          <w:numId w:val="24"/>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pPr>
        <w:spacing w:line="360" w:lineRule="auto"/>
        <w:rPr>
          <w:rFonts w:ascii="宋体" w:hAnsi="宋体"/>
          <w:highlight w:val="none"/>
        </w:rPr>
        <w:sectPr>
          <w:pgSz w:w="11910" w:h="16840"/>
          <w:pgMar w:top="1380" w:right="1440" w:bottom="1500" w:left="1580" w:header="877" w:footer="1304" w:gutter="0"/>
          <w:pgNumType w:fmt="decimal"/>
          <w:cols w:space="720" w:num="1"/>
        </w:sectPr>
      </w:pPr>
    </w:p>
    <w:p>
      <w:pPr>
        <w:pStyle w:val="10"/>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pPr>
        <w:pStyle w:val="6"/>
        <w:numPr>
          <w:ilvl w:val="1"/>
          <w:numId w:val="24"/>
        </w:numPr>
        <w:tabs>
          <w:tab w:val="left" w:pos="1262"/>
        </w:tabs>
        <w:spacing w:before="1" w:line="360" w:lineRule="auto"/>
        <w:ind w:left="1262" w:hanging="605"/>
        <w:rPr>
          <w:sz w:val="21"/>
          <w:szCs w:val="21"/>
          <w:highlight w:val="none"/>
        </w:rPr>
      </w:pPr>
      <w:r>
        <w:rPr>
          <w:sz w:val="21"/>
          <w:szCs w:val="21"/>
          <w:highlight w:val="none"/>
        </w:rPr>
        <w:t>合同转让和分包</w:t>
      </w:r>
    </w:p>
    <w:p>
      <w:pPr>
        <w:pStyle w:val="10"/>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pPr>
        <w:pStyle w:val="6"/>
        <w:numPr>
          <w:ilvl w:val="1"/>
          <w:numId w:val="24"/>
        </w:numPr>
        <w:tabs>
          <w:tab w:val="left" w:pos="1262"/>
        </w:tabs>
        <w:spacing w:before="3" w:line="360" w:lineRule="auto"/>
        <w:ind w:left="1262" w:hanging="605"/>
        <w:rPr>
          <w:sz w:val="21"/>
          <w:szCs w:val="21"/>
          <w:highlight w:val="none"/>
        </w:rPr>
      </w:pPr>
      <w:r>
        <w:rPr>
          <w:sz w:val="21"/>
          <w:szCs w:val="21"/>
          <w:highlight w:val="none"/>
        </w:rPr>
        <w:t>不可抗力</w:t>
      </w:r>
    </w:p>
    <w:p>
      <w:pPr>
        <w:pStyle w:val="26"/>
        <w:numPr>
          <w:ilvl w:val="2"/>
          <w:numId w:val="24"/>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pPr>
        <w:pStyle w:val="26"/>
        <w:numPr>
          <w:ilvl w:val="2"/>
          <w:numId w:val="24"/>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pPr>
        <w:pStyle w:val="26"/>
        <w:numPr>
          <w:ilvl w:val="2"/>
          <w:numId w:val="24"/>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pPr>
        <w:pStyle w:val="26"/>
        <w:numPr>
          <w:ilvl w:val="2"/>
          <w:numId w:val="24"/>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pPr>
        <w:pStyle w:val="6"/>
        <w:numPr>
          <w:ilvl w:val="1"/>
          <w:numId w:val="24"/>
        </w:numPr>
        <w:tabs>
          <w:tab w:val="left" w:pos="1262"/>
        </w:tabs>
        <w:spacing w:before="11" w:line="360" w:lineRule="auto"/>
        <w:ind w:left="1262" w:hanging="605"/>
        <w:rPr>
          <w:sz w:val="21"/>
          <w:szCs w:val="21"/>
          <w:highlight w:val="none"/>
        </w:rPr>
      </w:pPr>
      <w:r>
        <w:rPr>
          <w:sz w:val="21"/>
          <w:szCs w:val="21"/>
          <w:highlight w:val="none"/>
        </w:rPr>
        <w:t>税费</w:t>
      </w:r>
    </w:p>
    <w:p>
      <w:pPr>
        <w:pStyle w:val="10"/>
        <w:spacing w:before="161" w:line="360" w:lineRule="auto"/>
        <w:ind w:left="654"/>
        <w:rPr>
          <w:sz w:val="21"/>
          <w:szCs w:val="21"/>
          <w:highlight w:val="none"/>
        </w:rPr>
      </w:pPr>
      <w:r>
        <w:rPr>
          <w:sz w:val="21"/>
          <w:szCs w:val="21"/>
          <w:highlight w:val="none"/>
        </w:rPr>
        <w:t>与合同有关的一切税费，均按照中华人民共和国法律的相关规定缴纳。</w:t>
      </w:r>
    </w:p>
    <w:p>
      <w:pPr>
        <w:pStyle w:val="6"/>
        <w:numPr>
          <w:ilvl w:val="1"/>
          <w:numId w:val="24"/>
        </w:numPr>
        <w:tabs>
          <w:tab w:val="left" w:pos="1262"/>
        </w:tabs>
        <w:spacing w:before="160" w:line="360" w:lineRule="auto"/>
        <w:ind w:left="1262" w:hanging="605"/>
        <w:rPr>
          <w:sz w:val="21"/>
          <w:szCs w:val="21"/>
          <w:highlight w:val="none"/>
        </w:rPr>
      </w:pPr>
      <w:r>
        <w:rPr>
          <w:sz w:val="21"/>
          <w:szCs w:val="21"/>
          <w:highlight w:val="none"/>
        </w:rPr>
        <w:t>乙方破产</w:t>
      </w:r>
    </w:p>
    <w:p>
      <w:pPr>
        <w:pStyle w:val="10"/>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pPr>
        <w:pStyle w:val="6"/>
        <w:numPr>
          <w:ilvl w:val="1"/>
          <w:numId w:val="24"/>
        </w:numPr>
        <w:tabs>
          <w:tab w:val="left" w:pos="1262"/>
        </w:tabs>
        <w:spacing w:before="2" w:line="360" w:lineRule="auto"/>
        <w:ind w:left="1262" w:hanging="605"/>
        <w:rPr>
          <w:sz w:val="21"/>
          <w:szCs w:val="21"/>
          <w:highlight w:val="none"/>
        </w:rPr>
      </w:pPr>
      <w:r>
        <w:rPr>
          <w:sz w:val="21"/>
          <w:szCs w:val="21"/>
          <w:highlight w:val="none"/>
        </w:rPr>
        <w:t>合同中止、终止</w:t>
      </w:r>
    </w:p>
    <w:p>
      <w:pPr>
        <w:pStyle w:val="26"/>
        <w:numPr>
          <w:ilvl w:val="2"/>
          <w:numId w:val="24"/>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pPr>
        <w:pStyle w:val="26"/>
        <w:numPr>
          <w:ilvl w:val="2"/>
          <w:numId w:val="24"/>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pPr>
        <w:pStyle w:val="6"/>
        <w:numPr>
          <w:ilvl w:val="1"/>
          <w:numId w:val="24"/>
        </w:numPr>
        <w:tabs>
          <w:tab w:val="left" w:pos="1262"/>
        </w:tabs>
        <w:spacing w:before="2" w:line="360" w:lineRule="auto"/>
        <w:ind w:left="1262" w:hanging="605"/>
        <w:rPr>
          <w:sz w:val="21"/>
          <w:szCs w:val="21"/>
          <w:highlight w:val="none"/>
        </w:rPr>
      </w:pPr>
      <w:r>
        <w:rPr>
          <w:sz w:val="21"/>
          <w:szCs w:val="21"/>
          <w:highlight w:val="none"/>
        </w:rPr>
        <w:t>检验和验收</w:t>
      </w:r>
    </w:p>
    <w:p>
      <w:pPr>
        <w:pStyle w:val="26"/>
        <w:numPr>
          <w:ilvl w:val="2"/>
          <w:numId w:val="24"/>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pPr>
        <w:pStyle w:val="26"/>
        <w:numPr>
          <w:ilvl w:val="2"/>
          <w:numId w:val="24"/>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pPr>
        <w:pStyle w:val="26"/>
        <w:numPr>
          <w:ilvl w:val="2"/>
          <w:numId w:val="24"/>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pPr>
        <w:pStyle w:val="6"/>
        <w:numPr>
          <w:ilvl w:val="1"/>
          <w:numId w:val="24"/>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pPr>
        <w:pStyle w:val="26"/>
        <w:numPr>
          <w:ilvl w:val="2"/>
          <w:numId w:val="24"/>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pPr>
        <w:pStyle w:val="26"/>
        <w:numPr>
          <w:ilvl w:val="2"/>
          <w:numId w:val="24"/>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pPr>
        <w:pStyle w:val="6"/>
        <w:numPr>
          <w:ilvl w:val="1"/>
          <w:numId w:val="24"/>
        </w:numPr>
        <w:tabs>
          <w:tab w:val="left" w:pos="1262"/>
        </w:tabs>
        <w:spacing w:before="161" w:line="360" w:lineRule="auto"/>
        <w:ind w:left="1262" w:hanging="605"/>
        <w:rPr>
          <w:sz w:val="21"/>
          <w:szCs w:val="21"/>
          <w:highlight w:val="none"/>
        </w:rPr>
      </w:pPr>
      <w:r>
        <w:rPr>
          <w:sz w:val="21"/>
          <w:szCs w:val="21"/>
          <w:highlight w:val="none"/>
        </w:rPr>
        <w:t>履约保证金</w:t>
      </w:r>
    </w:p>
    <w:p>
      <w:pPr>
        <w:pStyle w:val="26"/>
        <w:numPr>
          <w:ilvl w:val="2"/>
          <w:numId w:val="24"/>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pPr>
        <w:pStyle w:val="26"/>
        <w:numPr>
          <w:ilvl w:val="2"/>
          <w:numId w:val="24"/>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pPr>
        <w:pStyle w:val="26"/>
        <w:numPr>
          <w:ilvl w:val="2"/>
          <w:numId w:val="24"/>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pPr>
        <w:pStyle w:val="6"/>
        <w:numPr>
          <w:ilvl w:val="1"/>
          <w:numId w:val="24"/>
        </w:numPr>
        <w:tabs>
          <w:tab w:val="left" w:pos="1262"/>
        </w:tabs>
        <w:spacing w:before="2" w:line="360" w:lineRule="auto"/>
        <w:ind w:left="1262" w:hanging="605"/>
        <w:rPr>
          <w:sz w:val="21"/>
          <w:szCs w:val="21"/>
          <w:highlight w:val="none"/>
        </w:rPr>
      </w:pPr>
      <w:r>
        <w:rPr>
          <w:sz w:val="21"/>
          <w:szCs w:val="21"/>
          <w:highlight w:val="none"/>
        </w:rPr>
        <w:t>合同份数</w:t>
      </w:r>
    </w:p>
    <w:p>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pPr>
        <w:spacing w:line="360" w:lineRule="auto"/>
        <w:rPr>
          <w:rFonts w:ascii="宋体" w:hAnsi="宋体"/>
          <w:highlight w:val="none"/>
        </w:rPr>
        <w:sectPr>
          <w:pgSz w:w="11910" w:h="16840"/>
          <w:pgMar w:top="1380" w:right="1440" w:bottom="1500" w:left="1580" w:header="877" w:footer="1304" w:gutter="0"/>
          <w:pgNumType w:fmt="decimal"/>
          <w:cols w:space="720" w:num="1"/>
        </w:sectPr>
      </w:pPr>
    </w:p>
    <w:p>
      <w:pPr>
        <w:pStyle w:val="6"/>
        <w:spacing w:line="360" w:lineRule="auto"/>
        <w:ind w:left="3108"/>
        <w:rPr>
          <w:sz w:val="21"/>
          <w:szCs w:val="21"/>
          <w:highlight w:val="none"/>
        </w:rPr>
      </w:pPr>
      <w:r>
        <w:rPr>
          <w:sz w:val="21"/>
          <w:szCs w:val="21"/>
          <w:highlight w:val="none"/>
        </w:rPr>
        <w:t>第三部分 合同专用条款</w:t>
      </w:r>
    </w:p>
    <w:p>
      <w:pPr>
        <w:pStyle w:val="10"/>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pPr>
        <w:pStyle w:val="10"/>
        <w:spacing w:before="160" w:line="360" w:lineRule="auto"/>
        <w:ind w:right="238" w:firstLine="434"/>
        <w:rPr>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pPr>
              <w:pStyle w:val="25"/>
              <w:spacing w:before="40"/>
              <w:ind w:left="35"/>
              <w:rPr>
                <w:b/>
                <w:sz w:val="24"/>
                <w:highlight w:val="none"/>
                <w:lang w:eastAsia="en-US"/>
              </w:rPr>
            </w:pPr>
            <w:r>
              <w:rPr>
                <w:b/>
                <w:sz w:val="24"/>
                <w:highlight w:val="none"/>
                <w:lang w:eastAsia="en-US"/>
              </w:rPr>
              <w:t>条款号</w:t>
            </w:r>
          </w:p>
        </w:tc>
        <w:tc>
          <w:tcPr>
            <w:tcW w:w="7571" w:type="dxa"/>
          </w:tcPr>
          <w:p>
            <w:pPr>
              <w:pStyle w:val="25"/>
              <w:spacing w:before="40"/>
              <w:ind w:left="3280" w:right="3271"/>
              <w:jc w:val="center"/>
              <w:rPr>
                <w:b/>
                <w:sz w:val="24"/>
                <w:highlight w:val="none"/>
                <w:lang w:eastAsia="en-US"/>
              </w:rPr>
            </w:pPr>
            <w:r>
              <w:rPr>
                <w:b/>
                <w:sz w:val="24"/>
                <w:highlight w:val="none"/>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25"/>
              <w:rPr>
                <w:rFonts w:ascii="Times New Roman"/>
                <w:highlight w:val="none"/>
                <w:lang w:eastAsia="en-US"/>
              </w:rPr>
            </w:pPr>
          </w:p>
        </w:tc>
        <w:tc>
          <w:tcPr>
            <w:tcW w:w="7571" w:type="dxa"/>
          </w:tcPr>
          <w:p>
            <w:pPr>
              <w:pStyle w:val="25"/>
              <w:rPr>
                <w:rFonts w:ascii="Times New Roman"/>
                <w:highlight w:val="none"/>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25"/>
              <w:rPr>
                <w:rFonts w:ascii="Times New Roman"/>
                <w:highlight w:val="none"/>
              </w:rPr>
            </w:pPr>
          </w:p>
          <w:p>
            <w:pPr>
              <w:pStyle w:val="25"/>
              <w:rPr>
                <w:rFonts w:ascii="Times New Roman"/>
                <w:highlight w:val="none"/>
              </w:rPr>
            </w:pPr>
          </w:p>
          <w:p>
            <w:pPr>
              <w:pStyle w:val="25"/>
              <w:rPr>
                <w:rFonts w:ascii="Times New Roman"/>
                <w:highlight w:val="none"/>
              </w:rPr>
            </w:pPr>
          </w:p>
        </w:tc>
        <w:tc>
          <w:tcPr>
            <w:tcW w:w="7571" w:type="dxa"/>
          </w:tcPr>
          <w:p>
            <w:pPr>
              <w:pStyle w:val="25"/>
              <w:rPr>
                <w:rFonts w:ascii="Times New Roman"/>
                <w:highlight w:val="none"/>
                <w:lang w:eastAsia="en-US"/>
              </w:rPr>
            </w:pPr>
          </w:p>
        </w:tc>
      </w:tr>
    </w:tbl>
    <w:p>
      <w:pPr>
        <w:pStyle w:val="4"/>
        <w:tabs>
          <w:tab w:val="left" w:pos="1125"/>
        </w:tabs>
        <w:ind w:right="136"/>
        <w:jc w:val="center"/>
        <w:rPr>
          <w:rFonts w:ascii="宋体" w:hAnsi="宋体"/>
          <w:sz w:val="32"/>
          <w:szCs w:val="32"/>
          <w:highlight w:val="none"/>
        </w:rPr>
      </w:pPr>
    </w:p>
    <w:p>
      <w:pPr>
        <w:spacing w:line="360" w:lineRule="auto"/>
        <w:rPr>
          <w:rFonts w:ascii="宋体" w:hAnsi="宋体"/>
          <w:highlight w:val="none"/>
        </w:rPr>
        <w:sectPr>
          <w:pgSz w:w="11910" w:h="16840"/>
          <w:pgMar w:top="1380" w:right="1440" w:bottom="1500" w:left="1580" w:header="877" w:footer="1304" w:gutter="0"/>
          <w:pgNumType w:fmt="decimal"/>
          <w:cols w:space="720" w:num="1"/>
        </w:sectPr>
      </w:pPr>
    </w:p>
    <w:p>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538"/>
      <w:r>
        <w:rPr>
          <w:rFonts w:hint="eastAsia" w:ascii="宋体" w:hAnsi="宋体"/>
          <w:sz w:val="32"/>
          <w:szCs w:val="32"/>
          <w:highlight w:val="none"/>
        </w:rPr>
        <w:t>响应文件格式</w:t>
      </w:r>
      <w:bookmarkEnd w:id="64"/>
    </w:p>
    <w:p>
      <w:pPr>
        <w:rPr>
          <w:rFonts w:hint="eastAsia" w:ascii="宋体" w:hAnsi="宋体"/>
          <w:sz w:val="32"/>
          <w:szCs w:val="32"/>
          <w:highlight w:val="none"/>
        </w:rPr>
      </w:pPr>
    </w:p>
    <w:p>
      <w:pPr>
        <w:pStyle w:val="16"/>
        <w:rPr>
          <w:rFonts w:hint="eastAsia" w:ascii="宋体" w:hAnsi="宋体"/>
          <w:sz w:val="32"/>
          <w:szCs w:val="32"/>
          <w:highlight w:val="none"/>
        </w:rPr>
      </w:pPr>
    </w:p>
    <w:p>
      <w:pPr>
        <w:rPr>
          <w:rFonts w:hint="eastAsia" w:ascii="宋体" w:hAnsi="宋体"/>
          <w:sz w:val="32"/>
          <w:szCs w:val="32"/>
          <w:highlight w:val="none"/>
        </w:rPr>
      </w:pPr>
    </w:p>
    <w:p>
      <w:pPr>
        <w:pStyle w:val="16"/>
        <w:rPr>
          <w:rFonts w:hint="eastAsia"/>
          <w:highlight w:val="none"/>
        </w:rPr>
      </w:pPr>
    </w:p>
    <w:p>
      <w:pPr>
        <w:jc w:val="center"/>
        <w:rPr>
          <w:rFonts w:ascii="宋体" w:hAnsi="宋体" w:cs="Arial"/>
          <w:sz w:val="28"/>
          <w:szCs w:val="28"/>
          <w:highlight w:val="none"/>
        </w:rPr>
      </w:pPr>
      <w:bookmarkStart w:id="65" w:name="_Toc32338_WPSOffice_Level1"/>
      <w:bookmarkStart w:id="66" w:name="_Toc13756_WPSOffice_Level1"/>
      <w:r>
        <w:rPr>
          <w:rFonts w:hint="eastAsia" w:ascii="宋体" w:hAnsi="宋体"/>
          <w:sz w:val="28"/>
          <w:szCs w:val="28"/>
          <w:highlight w:val="none"/>
          <w:u w:val="single"/>
        </w:rPr>
        <w:t>（项目名称）</w:t>
      </w:r>
      <w:bookmarkEnd w:id="65"/>
      <w:bookmarkEnd w:id="66"/>
    </w:p>
    <w:p>
      <w:pPr>
        <w:jc w:val="center"/>
        <w:rPr>
          <w:rFonts w:ascii="宋体" w:hAnsi="宋体" w:cs="Arial"/>
          <w:b/>
          <w:sz w:val="28"/>
          <w:szCs w:val="28"/>
          <w:highlight w:val="none"/>
        </w:rPr>
      </w:pPr>
      <w:bookmarkStart w:id="67" w:name="_Hlk450146333"/>
    </w:p>
    <w:p>
      <w:pPr>
        <w:jc w:val="center"/>
        <w:rPr>
          <w:rFonts w:ascii="宋体" w:hAnsi="宋体" w:cs="Arial"/>
          <w:sz w:val="28"/>
          <w:szCs w:val="28"/>
          <w:highlight w:val="none"/>
        </w:rPr>
      </w:pPr>
      <w:bookmarkStart w:id="68" w:name="_Toc18887_WPSOffice_Level1"/>
      <w:bookmarkStart w:id="69" w:name="_Toc361_WPSOffice_Level1"/>
      <w:r>
        <w:rPr>
          <w:rFonts w:hint="eastAsia" w:ascii="宋体" w:hAnsi="宋体" w:cs="Arial"/>
          <w:sz w:val="28"/>
          <w:szCs w:val="28"/>
          <w:highlight w:val="none"/>
        </w:rPr>
        <w:t xml:space="preserve">响 应 </w:t>
      </w:r>
      <w:bookmarkEnd w:id="67"/>
      <w:r>
        <w:rPr>
          <w:rFonts w:hint="eastAsia" w:ascii="宋体" w:hAnsi="宋体" w:cs="Arial"/>
          <w:sz w:val="28"/>
          <w:szCs w:val="28"/>
          <w:highlight w:val="none"/>
        </w:rPr>
        <w:t>文 件</w:t>
      </w:r>
      <w:bookmarkEnd w:id="68"/>
      <w:bookmarkEnd w:id="69"/>
    </w:p>
    <w:p>
      <w:pPr>
        <w:rPr>
          <w:rFonts w:ascii="宋体" w:hAnsi="宋体" w:cs="Arial"/>
          <w:sz w:val="28"/>
          <w:szCs w:val="28"/>
          <w:highlight w:val="none"/>
        </w:rPr>
      </w:pPr>
      <w:r>
        <w:rPr>
          <w:rFonts w:hint="eastAsia" w:ascii="宋体" w:hAnsi="宋体" w:cs="Arial"/>
          <w:sz w:val="28"/>
          <w:szCs w:val="28"/>
          <w:highlight w:val="none"/>
        </w:rPr>
        <w:t xml:space="preserve">               </w:t>
      </w:r>
    </w:p>
    <w:p>
      <w:pPr>
        <w:jc w:val="center"/>
        <w:rPr>
          <w:rFonts w:ascii="宋体" w:hAnsi="宋体" w:cs="Arial"/>
          <w:sz w:val="28"/>
          <w:szCs w:val="28"/>
          <w:highlight w:val="none"/>
        </w:rPr>
      </w:pPr>
    </w:p>
    <w:p>
      <w:pPr>
        <w:pStyle w:val="16"/>
      </w:pPr>
    </w:p>
    <w:p>
      <w:pPr>
        <w:jc w:val="center"/>
        <w:rPr>
          <w:rFonts w:ascii="宋体" w:hAnsi="宋体" w:cs="Arial"/>
          <w:sz w:val="28"/>
          <w:szCs w:val="28"/>
          <w:highlight w:val="none"/>
        </w:rPr>
      </w:pPr>
    </w:p>
    <w:p>
      <w:pPr>
        <w:ind w:firstLine="1120" w:firstLineChars="400"/>
        <w:rPr>
          <w:rFonts w:ascii="宋体" w:hAnsi="宋体"/>
          <w:sz w:val="28"/>
          <w:szCs w:val="28"/>
          <w:highlight w:val="none"/>
          <w:u w:val="single"/>
        </w:rPr>
      </w:pPr>
      <w:bookmarkStart w:id="70" w:name="_Toc4204_WPSOffice_Level1"/>
      <w:bookmarkStart w:id="71" w:name="_Toc13389_WPSOffice_Level1"/>
      <w:r>
        <w:rPr>
          <w:rFonts w:hint="eastAsia" w:ascii="宋体" w:hAnsi="宋体" w:cs="Arial"/>
          <w:sz w:val="28"/>
          <w:szCs w:val="28"/>
          <w:highlight w:val="none"/>
        </w:rPr>
        <w:t>采购人：</w:t>
      </w:r>
      <w:bookmarkEnd w:id="70"/>
      <w:bookmarkEnd w:id="71"/>
      <w:r>
        <w:rPr>
          <w:rFonts w:hint="eastAsia" w:ascii="宋体" w:hAnsi="宋体"/>
          <w:sz w:val="28"/>
          <w:szCs w:val="28"/>
          <w:highlight w:val="none"/>
          <w:u w:val="single"/>
        </w:rPr>
        <w:t xml:space="preserve">                               </w:t>
      </w:r>
    </w:p>
    <w:p>
      <w:pPr>
        <w:ind w:firstLine="1540" w:firstLineChars="550"/>
        <w:rPr>
          <w:rFonts w:ascii="宋体" w:hAnsi="宋体" w:cs="Arial"/>
          <w:sz w:val="28"/>
          <w:szCs w:val="28"/>
          <w:highlight w:val="none"/>
        </w:rPr>
      </w:pPr>
    </w:p>
    <w:p>
      <w:pPr>
        <w:spacing w:line="460" w:lineRule="exact"/>
        <w:ind w:firstLine="1120" w:firstLineChars="400"/>
        <w:rPr>
          <w:rFonts w:ascii="宋体" w:hAnsi="宋体"/>
          <w:sz w:val="28"/>
          <w:szCs w:val="28"/>
          <w:highlight w:val="none"/>
        </w:rPr>
      </w:pPr>
      <w:bookmarkStart w:id="72" w:name="_Toc23736_WPSOffice_Level1"/>
      <w:bookmarkStart w:id="73"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2"/>
      <w:bookmarkEnd w:id="73"/>
    </w:p>
    <w:p>
      <w:pPr>
        <w:spacing w:line="460" w:lineRule="exact"/>
        <w:ind w:firstLine="854" w:firstLineChars="305"/>
        <w:rPr>
          <w:rFonts w:ascii="宋体" w:hAnsi="宋体"/>
          <w:sz w:val="28"/>
          <w:szCs w:val="28"/>
          <w:highlight w:val="none"/>
          <w:u w:val="single"/>
        </w:rPr>
      </w:pPr>
    </w:p>
    <w:p>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4" w:name="_Toc22449_WPSOffice_Level1"/>
      <w:bookmarkStart w:id="75" w:name="_Toc7448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4"/>
      <w:bookmarkEnd w:id="75"/>
    </w:p>
    <w:p>
      <w:pPr>
        <w:spacing w:line="460" w:lineRule="exact"/>
        <w:rPr>
          <w:rFonts w:ascii="宋体" w:hAnsi="宋体"/>
          <w:sz w:val="28"/>
          <w:szCs w:val="28"/>
          <w:highlight w:val="none"/>
        </w:rPr>
      </w:pPr>
    </w:p>
    <w:p>
      <w:pPr>
        <w:spacing w:line="460" w:lineRule="exact"/>
        <w:ind w:firstLine="435"/>
        <w:rPr>
          <w:rFonts w:ascii="宋体" w:hAnsi="宋体"/>
          <w:sz w:val="28"/>
          <w:szCs w:val="28"/>
          <w:highlight w:val="none"/>
        </w:rPr>
      </w:pPr>
    </w:p>
    <w:p>
      <w:pPr>
        <w:spacing w:line="460" w:lineRule="exact"/>
        <w:ind w:firstLine="435"/>
        <w:jc w:val="center"/>
        <w:rPr>
          <w:rFonts w:ascii="宋体" w:hAnsi="宋体"/>
          <w:sz w:val="28"/>
          <w:szCs w:val="28"/>
          <w:highlight w:val="none"/>
        </w:rPr>
      </w:pPr>
    </w:p>
    <w:p>
      <w:pPr>
        <w:spacing w:line="460" w:lineRule="exact"/>
        <w:ind w:firstLine="435"/>
        <w:jc w:val="center"/>
        <w:rPr>
          <w:rFonts w:ascii="宋体" w:hAnsi="宋体"/>
          <w:sz w:val="28"/>
          <w:szCs w:val="28"/>
          <w:highlight w:val="none"/>
        </w:rPr>
      </w:pPr>
    </w:p>
    <w:p>
      <w:pPr>
        <w:spacing w:line="460" w:lineRule="exact"/>
        <w:ind w:firstLine="435"/>
        <w:jc w:val="center"/>
        <w:rPr>
          <w:rFonts w:ascii="宋体" w:hAnsi="宋体"/>
          <w:sz w:val="28"/>
          <w:szCs w:val="28"/>
          <w:highlight w:val="none"/>
        </w:rPr>
      </w:pPr>
    </w:p>
    <w:p>
      <w:pPr>
        <w:spacing w:line="460" w:lineRule="exact"/>
        <w:ind w:firstLine="435"/>
        <w:jc w:val="center"/>
        <w:rPr>
          <w:rFonts w:ascii="宋体" w:hAnsi="宋体"/>
          <w:sz w:val="28"/>
          <w:szCs w:val="28"/>
          <w:highlight w:val="none"/>
        </w:rPr>
      </w:pPr>
      <w:bookmarkStart w:id="76" w:name="_Toc11712_WPSOffice_Level2"/>
      <w:bookmarkStart w:id="77" w:name="_Toc17804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6"/>
      <w:bookmarkEnd w:id="77"/>
    </w:p>
    <w:p>
      <w:pPr>
        <w:tabs>
          <w:tab w:val="left" w:pos="645"/>
          <w:tab w:val="left" w:pos="1286"/>
          <w:tab w:val="left" w:pos="1929"/>
        </w:tabs>
        <w:spacing w:before="54"/>
        <w:ind w:right="135"/>
        <w:jc w:val="center"/>
        <w:rPr>
          <w:rFonts w:ascii="宋体" w:hAnsi="宋体"/>
          <w:b/>
          <w:sz w:val="28"/>
          <w:szCs w:val="28"/>
          <w:highlight w:val="none"/>
        </w:rPr>
      </w:pPr>
    </w:p>
    <w:p>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pPr>
        <w:jc w:val="center"/>
        <w:outlineLvl w:val="2"/>
        <w:rPr>
          <w:b/>
          <w:sz w:val="28"/>
          <w:szCs w:val="28"/>
          <w:highlight w:val="none"/>
        </w:rPr>
      </w:pPr>
      <w:r>
        <w:rPr>
          <w:b/>
          <w:sz w:val="28"/>
          <w:szCs w:val="28"/>
          <w:highlight w:val="none"/>
        </w:rPr>
        <w:t>一、报价表格式</w:t>
      </w:r>
    </w:p>
    <w:p>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pPr>
        <w:pStyle w:val="16"/>
        <w:rPr>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25"/>
              <w:spacing w:before="177" w:line="360" w:lineRule="auto"/>
              <w:ind w:left="243" w:right="238"/>
              <w:jc w:val="center"/>
              <w:rPr>
                <w:b/>
                <w:sz w:val="21"/>
                <w:szCs w:val="21"/>
                <w:highlight w:val="none"/>
                <w:lang w:eastAsia="en-US"/>
              </w:rPr>
            </w:pPr>
          </w:p>
          <w:p>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pPr>
              <w:pStyle w:val="25"/>
              <w:spacing w:line="360" w:lineRule="auto"/>
              <w:rPr>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25"/>
              <w:spacing w:before="11" w:line="360" w:lineRule="auto"/>
              <w:rPr>
                <w:b/>
                <w:sz w:val="21"/>
                <w:szCs w:val="21"/>
                <w:highlight w:val="none"/>
                <w:lang w:eastAsia="en-US"/>
              </w:rPr>
            </w:pPr>
          </w:p>
          <w:p>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pPr>
              <w:pStyle w:val="25"/>
              <w:spacing w:before="11" w:line="360" w:lineRule="auto"/>
              <w:rPr>
                <w:b/>
                <w:sz w:val="21"/>
                <w:szCs w:val="21"/>
                <w:highlight w:val="none"/>
                <w:lang w:eastAsia="en-US"/>
              </w:rPr>
            </w:pPr>
          </w:p>
          <w:p>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25"/>
              <w:spacing w:before="7" w:line="360" w:lineRule="auto"/>
              <w:rPr>
                <w:b/>
                <w:sz w:val="21"/>
                <w:szCs w:val="21"/>
                <w:highlight w:val="none"/>
              </w:rPr>
            </w:pPr>
          </w:p>
          <w:p>
            <w:pPr>
              <w:pStyle w:val="25"/>
              <w:spacing w:line="360" w:lineRule="auto"/>
              <w:ind w:left="245" w:right="235"/>
              <w:jc w:val="center"/>
              <w:rPr>
                <w:b/>
                <w:sz w:val="21"/>
                <w:szCs w:val="21"/>
                <w:highlight w:val="none"/>
              </w:rPr>
            </w:pPr>
            <w:r>
              <w:rPr>
                <w:b/>
                <w:sz w:val="21"/>
                <w:szCs w:val="21"/>
                <w:highlight w:val="none"/>
              </w:rPr>
              <w:t>报价</w:t>
            </w:r>
          </w:p>
          <w:p>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pPr>
              <w:pStyle w:val="25"/>
              <w:spacing w:line="360" w:lineRule="auto"/>
              <w:rPr>
                <w:b/>
                <w:sz w:val="21"/>
                <w:szCs w:val="21"/>
                <w:highlight w:val="none"/>
              </w:rPr>
            </w:pPr>
          </w:p>
          <w:p>
            <w:pPr>
              <w:pStyle w:val="25"/>
              <w:spacing w:before="9" w:line="360" w:lineRule="auto"/>
              <w:rPr>
                <w:b/>
                <w:sz w:val="21"/>
                <w:szCs w:val="21"/>
                <w:highlight w:val="none"/>
              </w:rPr>
            </w:pPr>
          </w:p>
          <w:p>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折扣率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pPr>
              <w:pStyle w:val="25"/>
              <w:spacing w:line="360" w:lineRule="auto"/>
              <w:rPr>
                <w:b/>
                <w:sz w:val="21"/>
                <w:szCs w:val="21"/>
                <w:highlight w:val="none"/>
              </w:rPr>
            </w:pPr>
          </w:p>
          <w:p>
            <w:pPr>
              <w:pStyle w:val="25"/>
              <w:spacing w:line="360" w:lineRule="auto"/>
              <w:rPr>
                <w:b/>
                <w:sz w:val="21"/>
                <w:szCs w:val="21"/>
                <w:highlight w:val="none"/>
              </w:rPr>
            </w:pPr>
          </w:p>
          <w:p>
            <w:pPr>
              <w:pStyle w:val="25"/>
              <w:spacing w:line="360" w:lineRule="auto"/>
              <w:rPr>
                <w:b/>
                <w:sz w:val="21"/>
                <w:szCs w:val="21"/>
                <w:highlight w:val="none"/>
              </w:rPr>
            </w:pPr>
          </w:p>
          <w:p>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pPr>
              <w:pStyle w:val="25"/>
              <w:spacing w:line="360" w:lineRule="auto"/>
              <w:rPr>
                <w:sz w:val="21"/>
                <w:szCs w:val="21"/>
                <w:highlight w:val="none"/>
                <w:lang w:eastAsia="en-US"/>
              </w:rPr>
            </w:pPr>
          </w:p>
        </w:tc>
      </w:tr>
    </w:tbl>
    <w:p>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pPr>
        <w:pStyle w:val="10"/>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r>
        <w:rPr>
          <w:rFonts w:hint="eastAsia"/>
          <w:lang w:val="en-US" w:eastAsia="zh-CN"/>
        </w:rPr>
        <w:br w:type="page"/>
      </w:r>
    </w:p>
    <w:p>
      <w:pPr>
        <w:pStyle w:val="16"/>
        <w:rPr>
          <w:rFonts w:hint="eastAsia"/>
          <w:lang w:val="en-US" w:eastAsia="zh-CN"/>
        </w:rPr>
      </w:pPr>
    </w:p>
    <w:p>
      <w:pPr>
        <w:bidi w:val="0"/>
        <w:rPr>
          <w:rFonts w:hint="eastAsia"/>
          <w:lang w:val="en-US" w:eastAsia="zh-CN"/>
        </w:rPr>
      </w:pPr>
    </w:p>
    <w:p>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pPr>
        <w:pStyle w:val="22"/>
        <w:rPr>
          <w:rFonts w:hint="eastAsia"/>
          <w:b/>
          <w:sz w:val="28"/>
          <w:szCs w:val="28"/>
          <w:highlight w:val="none"/>
          <w:lang w:val="en-US" w:eastAsia="zh-CN"/>
        </w:rPr>
      </w:pPr>
    </w:p>
    <w:p>
      <w:pPr>
        <w:pStyle w:val="22"/>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pPr>
        <w:pStyle w:val="22"/>
        <w:ind w:firstLine="2319" w:firstLineChars="1100"/>
        <w:jc w:val="both"/>
        <w:rPr>
          <w:rFonts w:hint="default" w:ascii="宋体" w:hAnsi="宋体" w:eastAsia="宋体" w:cs="宋体"/>
          <w:b/>
          <w:kern w:val="0"/>
          <w:sz w:val="21"/>
          <w:szCs w:val="21"/>
          <w:highlight w:val="none"/>
          <w:lang w:val="en-US" w:eastAsia="zh-CN" w:bidi="zh-CN"/>
        </w:rPr>
      </w:pPr>
    </w:p>
    <w:p>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pPr>
              <w:pStyle w:val="25"/>
              <w:spacing w:line="360" w:lineRule="auto"/>
              <w:rPr>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25"/>
              <w:spacing w:before="11" w:line="360" w:lineRule="auto"/>
              <w:rPr>
                <w:b/>
                <w:sz w:val="21"/>
                <w:szCs w:val="21"/>
                <w:highlight w:val="none"/>
                <w:lang w:eastAsia="en-US"/>
              </w:rPr>
            </w:pPr>
          </w:p>
          <w:p>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pPr>
              <w:pStyle w:val="25"/>
              <w:spacing w:before="11" w:line="360" w:lineRule="auto"/>
              <w:rPr>
                <w:b/>
                <w:sz w:val="21"/>
                <w:szCs w:val="21"/>
                <w:highlight w:val="none"/>
                <w:lang w:eastAsia="en-US"/>
              </w:rPr>
            </w:pPr>
          </w:p>
          <w:p>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25"/>
              <w:spacing w:before="7" w:line="360" w:lineRule="auto"/>
              <w:rPr>
                <w:b/>
                <w:sz w:val="21"/>
                <w:szCs w:val="21"/>
                <w:highlight w:val="none"/>
              </w:rPr>
            </w:pPr>
          </w:p>
          <w:p>
            <w:pPr>
              <w:pStyle w:val="25"/>
              <w:spacing w:line="360" w:lineRule="auto"/>
              <w:ind w:left="245" w:right="235"/>
              <w:jc w:val="center"/>
              <w:rPr>
                <w:b/>
                <w:sz w:val="21"/>
                <w:szCs w:val="21"/>
                <w:highlight w:val="none"/>
              </w:rPr>
            </w:pPr>
            <w:r>
              <w:rPr>
                <w:b/>
                <w:sz w:val="21"/>
                <w:szCs w:val="21"/>
                <w:highlight w:val="none"/>
              </w:rPr>
              <w:t>报价</w:t>
            </w:r>
          </w:p>
          <w:p>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pPr>
              <w:pStyle w:val="25"/>
              <w:spacing w:line="360" w:lineRule="auto"/>
              <w:rPr>
                <w:b/>
                <w:sz w:val="21"/>
                <w:szCs w:val="21"/>
                <w:highlight w:val="none"/>
              </w:rPr>
            </w:pPr>
          </w:p>
          <w:p>
            <w:pPr>
              <w:pStyle w:val="25"/>
              <w:spacing w:before="9" w:line="360" w:lineRule="auto"/>
              <w:rPr>
                <w:b/>
                <w:sz w:val="21"/>
                <w:szCs w:val="21"/>
                <w:highlight w:val="none"/>
              </w:rPr>
            </w:pPr>
          </w:p>
          <w:p>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折扣率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pPr>
              <w:pStyle w:val="25"/>
              <w:spacing w:line="360" w:lineRule="auto"/>
              <w:rPr>
                <w:b/>
                <w:sz w:val="21"/>
                <w:szCs w:val="21"/>
                <w:highlight w:val="none"/>
              </w:rPr>
            </w:pPr>
          </w:p>
          <w:p>
            <w:pPr>
              <w:pStyle w:val="25"/>
              <w:spacing w:line="360" w:lineRule="auto"/>
              <w:rPr>
                <w:b/>
                <w:sz w:val="21"/>
                <w:szCs w:val="21"/>
                <w:highlight w:val="none"/>
              </w:rPr>
            </w:pPr>
          </w:p>
          <w:p>
            <w:pPr>
              <w:pStyle w:val="25"/>
              <w:spacing w:line="360" w:lineRule="auto"/>
              <w:rPr>
                <w:b/>
                <w:sz w:val="21"/>
                <w:szCs w:val="21"/>
                <w:highlight w:val="none"/>
              </w:rPr>
            </w:pPr>
          </w:p>
          <w:p>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pPr>
              <w:pStyle w:val="25"/>
              <w:spacing w:line="360" w:lineRule="auto"/>
              <w:rPr>
                <w:sz w:val="21"/>
                <w:szCs w:val="21"/>
                <w:highlight w:val="none"/>
                <w:lang w:eastAsia="en-US"/>
              </w:rPr>
            </w:pPr>
          </w:p>
        </w:tc>
      </w:tr>
    </w:tbl>
    <w:p>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pPr>
        <w:pStyle w:val="10"/>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pPr>
        <w:pStyle w:val="10"/>
        <w:tabs>
          <w:tab w:val="left" w:pos="6705"/>
        </w:tabs>
        <w:spacing w:line="360" w:lineRule="auto"/>
        <w:ind w:right="1223" w:firstLine="4620" w:firstLineChars="2200"/>
        <w:rPr>
          <w:rFonts w:hint="eastAsia"/>
          <w:sz w:val="21"/>
          <w:szCs w:val="21"/>
          <w:highlight w:val="none"/>
          <w:u w:val="single"/>
        </w:rPr>
      </w:pPr>
    </w:p>
    <w:p>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pPr>
        <w:pStyle w:val="22"/>
        <w:rPr>
          <w:highlight w:val="none"/>
        </w:rPr>
      </w:pPr>
    </w:p>
    <w:p>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pPr>
        <w:spacing w:before="240" w:beforeLines="100" w:after="240" w:afterLines="100" w:line="360" w:lineRule="auto"/>
        <w:rPr>
          <w:b/>
          <w:highlight w:val="none"/>
        </w:rPr>
      </w:pPr>
      <w:r>
        <w:rPr>
          <w:b/>
          <w:highlight w:val="none"/>
        </w:rPr>
        <w:t xml:space="preserve">致： </w:t>
      </w:r>
      <w:r>
        <w:rPr>
          <w:rFonts w:hint="eastAsia"/>
          <w:b/>
          <w:highlight w:val="none"/>
        </w:rPr>
        <w:t>（采购人）</w:t>
      </w:r>
    </w:p>
    <w:p>
      <w:pPr>
        <w:pStyle w:val="10"/>
        <w:spacing w:before="2" w:line="360" w:lineRule="auto"/>
        <w:ind w:left="700"/>
        <w:rPr>
          <w:sz w:val="21"/>
          <w:szCs w:val="21"/>
          <w:highlight w:val="none"/>
        </w:rPr>
      </w:pPr>
      <w:r>
        <w:rPr>
          <w:sz w:val="21"/>
          <w:szCs w:val="21"/>
          <w:highlight w:val="none"/>
        </w:rPr>
        <w:t>根据贵方的竞争性磋商公告，我方兹宣布同意如下：</w:t>
      </w:r>
    </w:p>
    <w:p>
      <w:pPr>
        <w:pStyle w:val="27"/>
        <w:numPr>
          <w:ilvl w:val="2"/>
          <w:numId w:val="25"/>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pPr>
        <w:pStyle w:val="27"/>
        <w:numPr>
          <w:ilvl w:val="2"/>
          <w:numId w:val="25"/>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pPr>
        <w:pStyle w:val="27"/>
        <w:numPr>
          <w:ilvl w:val="2"/>
          <w:numId w:val="25"/>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pPr>
        <w:pStyle w:val="27"/>
        <w:numPr>
          <w:ilvl w:val="2"/>
          <w:numId w:val="25"/>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pPr>
        <w:pStyle w:val="27"/>
        <w:numPr>
          <w:ilvl w:val="2"/>
          <w:numId w:val="25"/>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pPr>
        <w:pStyle w:val="27"/>
        <w:numPr>
          <w:ilvl w:val="2"/>
          <w:numId w:val="25"/>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pPr>
        <w:pStyle w:val="27"/>
        <w:numPr>
          <w:ilvl w:val="2"/>
          <w:numId w:val="25"/>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pPr>
        <w:pStyle w:val="27"/>
        <w:numPr>
          <w:ilvl w:val="2"/>
          <w:numId w:val="25"/>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pPr>
        <w:pStyle w:val="27"/>
        <w:numPr>
          <w:ilvl w:val="2"/>
          <w:numId w:val="25"/>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pPr>
        <w:pStyle w:val="27"/>
        <w:numPr>
          <w:ilvl w:val="2"/>
          <w:numId w:val="25"/>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pPr>
        <w:pStyle w:val="27"/>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pPr>
        <w:pStyle w:val="27"/>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pPr>
        <w:pStyle w:val="10"/>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pPr>
        <w:pStyle w:val="10"/>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pPr>
        <w:spacing w:line="360" w:lineRule="auto"/>
        <w:rPr>
          <w:rFonts w:ascii="宋体" w:hAnsi="宋体"/>
          <w:highlight w:val="none"/>
        </w:rPr>
        <w:sectPr>
          <w:pgSz w:w="11910" w:h="16840"/>
          <w:pgMar w:top="1400" w:right="1440" w:bottom="1220" w:left="1580" w:header="877" w:footer="1033" w:gutter="0"/>
          <w:pgNumType w:fmt="decimal"/>
          <w:cols w:space="720" w:num="1"/>
        </w:sectPr>
      </w:pPr>
    </w:p>
    <w:p>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pPr>
        <w:spacing w:line="360" w:lineRule="auto"/>
        <w:jc w:val="left"/>
        <w:rPr>
          <w:rFonts w:ascii="宋体" w:hAnsi="宋体" w:cs="黑体"/>
          <w:highlight w:val="none"/>
        </w:rPr>
      </w:pPr>
    </w:p>
    <w:p>
      <w:pPr>
        <w:spacing w:line="360" w:lineRule="auto"/>
        <w:jc w:val="center"/>
        <w:rPr>
          <w:rFonts w:ascii="宋体" w:hAnsi="宋体" w:cs="黑体"/>
          <w:highlight w:val="none"/>
        </w:rPr>
      </w:pPr>
      <w:r>
        <w:rPr>
          <w:rFonts w:hint="eastAsia" w:ascii="宋体" w:hAnsi="宋体" w:cs="黑体"/>
          <w:highlight w:val="none"/>
        </w:rPr>
        <w:t>供应商诚信承诺书</w:t>
      </w:r>
    </w:p>
    <w:p>
      <w:pPr>
        <w:pStyle w:val="29"/>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pPr>
        <w:spacing w:line="360" w:lineRule="auto"/>
        <w:ind w:firstLine="420" w:firstLineChars="200"/>
        <w:rPr>
          <w:rFonts w:ascii="宋体" w:hAnsi="宋体" w:cs="华文仿宋"/>
          <w:kern w:val="0"/>
          <w:highlight w:val="none"/>
        </w:rPr>
      </w:pPr>
    </w:p>
    <w:p>
      <w:pPr>
        <w:pStyle w:val="29"/>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pPr>
        <w:pStyle w:val="29"/>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pPr>
        <w:pStyle w:val="29"/>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pPr>
        <w:widowControl/>
        <w:jc w:val="center"/>
        <w:rPr>
          <w:rFonts w:ascii="宋体" w:hAnsi="宋体"/>
          <w:b/>
          <w:bCs/>
          <w:highlight w:val="none"/>
        </w:rPr>
      </w:pPr>
      <w:r>
        <w:rPr>
          <w:rFonts w:ascii="宋体" w:hAnsi="宋体" w:cs="宋体"/>
          <w:highlight w:val="none"/>
        </w:rPr>
        <w:br w:type="page"/>
      </w:r>
    </w:p>
    <w:p>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pPr>
        <w:pStyle w:val="10"/>
        <w:spacing w:line="360" w:lineRule="auto"/>
        <w:rPr>
          <w:b/>
          <w:sz w:val="21"/>
          <w:szCs w:val="21"/>
          <w:highlight w:val="none"/>
        </w:rPr>
      </w:pPr>
    </w:p>
    <w:p>
      <w:pPr>
        <w:pStyle w:val="10"/>
        <w:spacing w:before="11" w:line="360" w:lineRule="auto"/>
        <w:rPr>
          <w:b/>
          <w:sz w:val="21"/>
          <w:szCs w:val="21"/>
          <w:highlight w:val="none"/>
        </w:rPr>
      </w:pPr>
    </w:p>
    <w:p>
      <w:pPr>
        <w:pStyle w:val="10"/>
        <w:spacing w:line="360" w:lineRule="auto"/>
        <w:rPr>
          <w:b/>
          <w:sz w:val="21"/>
          <w:szCs w:val="21"/>
          <w:highlight w:val="none"/>
          <w:lang w:val="en-US"/>
        </w:rPr>
      </w:pPr>
    </w:p>
    <w:p>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spacing w:line="360" w:lineRule="auto"/>
        <w:ind w:firstLine="645"/>
        <w:rPr>
          <w:rFonts w:ascii="宋体" w:hAnsi="宋体"/>
          <w:highlight w:val="none"/>
        </w:rPr>
      </w:pPr>
      <w:r>
        <w:rPr>
          <w:rFonts w:hint="eastAsia" w:ascii="宋体" w:hAnsi="宋体"/>
          <w:highlight w:val="none"/>
        </w:rPr>
        <w:t>本授权书自出具之日起生效。</w:t>
      </w:r>
    </w:p>
    <w:p>
      <w:pPr>
        <w:spacing w:line="360" w:lineRule="auto"/>
        <w:ind w:firstLine="645"/>
        <w:rPr>
          <w:rFonts w:ascii="宋体" w:hAnsi="宋体"/>
          <w:highlight w:val="none"/>
        </w:rPr>
      </w:pPr>
      <w:r>
        <w:rPr>
          <w:rFonts w:hint="eastAsia" w:ascii="宋体" w:hAnsi="宋体"/>
          <w:highlight w:val="none"/>
        </w:rPr>
        <w:t>特此声明。</w:t>
      </w:r>
    </w:p>
    <w:p>
      <w:pPr>
        <w:spacing w:line="360" w:lineRule="auto"/>
        <w:ind w:firstLine="645"/>
        <w:rPr>
          <w:rFonts w:ascii="宋体" w:hAnsi="宋体"/>
          <w:highlight w:val="none"/>
        </w:rPr>
      </w:pPr>
    </w:p>
    <w:p>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pPr>
        <w:spacing w:line="360" w:lineRule="auto"/>
        <w:ind w:firstLine="645"/>
        <w:rPr>
          <w:rFonts w:ascii="宋体" w:hAnsi="宋体"/>
          <w:highlight w:val="none"/>
        </w:rPr>
      </w:pPr>
    </w:p>
    <w:p>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pPr>
        <w:spacing w:line="360" w:lineRule="auto"/>
        <w:rPr>
          <w:rFonts w:ascii="宋体" w:hAnsi="宋体" w:cs="Arial"/>
          <w:b/>
          <w:highlight w:val="none"/>
        </w:rPr>
      </w:pPr>
    </w:p>
    <w:p>
      <w:pPr>
        <w:pStyle w:val="10"/>
        <w:spacing w:before="66" w:line="360" w:lineRule="auto"/>
        <w:rPr>
          <w:sz w:val="21"/>
          <w:szCs w:val="21"/>
          <w:highlight w:val="none"/>
        </w:rPr>
      </w:pPr>
      <w:r>
        <w:rPr>
          <w:sz w:val="21"/>
          <w:szCs w:val="21"/>
          <w:highlight w:val="none"/>
        </w:rPr>
        <w:t>注：</w:t>
      </w:r>
    </w:p>
    <w:p>
      <w:pPr>
        <w:pStyle w:val="27"/>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pPr>
        <w:pStyle w:val="27"/>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pPr>
        <w:spacing w:line="360" w:lineRule="auto"/>
        <w:rPr>
          <w:rFonts w:ascii="宋体" w:hAnsi="宋体"/>
          <w:highlight w:val="none"/>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pPr>
        <w:pStyle w:val="10"/>
        <w:spacing w:line="360" w:lineRule="auto"/>
        <w:rPr>
          <w:b/>
          <w:sz w:val="21"/>
          <w:szCs w:val="21"/>
          <w:highlight w:val="none"/>
        </w:rPr>
      </w:pPr>
    </w:p>
    <w:p>
      <w:pPr>
        <w:pStyle w:val="10"/>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pPr>
              <w:pStyle w:val="25"/>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pPr>
              <w:pStyle w:val="25"/>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pPr>
              <w:pStyle w:val="25"/>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pPr>
              <w:pStyle w:val="25"/>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pPr>
              <w:pStyle w:val="25"/>
              <w:spacing w:line="360" w:lineRule="auto"/>
              <w:ind w:left="161"/>
              <w:rPr>
                <w:b/>
                <w:sz w:val="21"/>
                <w:szCs w:val="21"/>
                <w:highlight w:val="none"/>
                <w:lang w:eastAsia="en-US"/>
              </w:rPr>
            </w:pPr>
            <w:r>
              <w:rPr>
                <w:b/>
                <w:sz w:val="21"/>
                <w:szCs w:val="21"/>
                <w:highlight w:val="none"/>
                <w:lang w:eastAsia="en-US"/>
              </w:rPr>
              <w:t>偏离</w:t>
            </w:r>
          </w:p>
          <w:p>
            <w:pPr>
              <w:pStyle w:val="25"/>
              <w:spacing w:before="4" w:line="360" w:lineRule="auto"/>
              <w:ind w:left="161"/>
              <w:rPr>
                <w:b/>
                <w:sz w:val="21"/>
                <w:szCs w:val="21"/>
                <w:highlight w:val="none"/>
                <w:lang w:eastAsia="en-US"/>
              </w:rPr>
            </w:pPr>
            <w:r>
              <w:rPr>
                <w:b/>
                <w:sz w:val="21"/>
                <w:szCs w:val="21"/>
                <w:highlight w:val="none"/>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25"/>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pPr>
              <w:pStyle w:val="25"/>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pPr>
              <w:pStyle w:val="25"/>
              <w:spacing w:line="360" w:lineRule="auto"/>
              <w:rPr>
                <w:sz w:val="21"/>
                <w:szCs w:val="21"/>
                <w:highlight w:val="none"/>
                <w:lang w:eastAsia="en-US"/>
              </w:rPr>
            </w:pPr>
          </w:p>
        </w:tc>
        <w:tc>
          <w:tcPr>
            <w:tcW w:w="2576" w:type="dxa"/>
            <w:shd w:val="clear" w:color="auto" w:fill="auto"/>
          </w:tcPr>
          <w:p>
            <w:pPr>
              <w:pStyle w:val="25"/>
              <w:spacing w:line="360" w:lineRule="auto"/>
              <w:rPr>
                <w:sz w:val="21"/>
                <w:szCs w:val="21"/>
                <w:highlight w:val="none"/>
                <w:lang w:eastAsia="en-US"/>
              </w:rPr>
            </w:pPr>
          </w:p>
        </w:tc>
        <w:tc>
          <w:tcPr>
            <w:tcW w:w="811" w:type="dxa"/>
            <w:shd w:val="clear" w:color="auto" w:fill="auto"/>
          </w:tcPr>
          <w:p>
            <w:pPr>
              <w:pStyle w:val="25"/>
              <w:spacing w:line="360" w:lineRule="auto"/>
              <w:rPr>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25"/>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pPr>
              <w:pStyle w:val="25"/>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pPr>
              <w:pStyle w:val="25"/>
              <w:spacing w:line="360" w:lineRule="auto"/>
              <w:rPr>
                <w:sz w:val="21"/>
                <w:szCs w:val="21"/>
                <w:highlight w:val="none"/>
                <w:lang w:eastAsia="en-US"/>
              </w:rPr>
            </w:pPr>
          </w:p>
        </w:tc>
        <w:tc>
          <w:tcPr>
            <w:tcW w:w="2576" w:type="dxa"/>
            <w:shd w:val="clear" w:color="auto" w:fill="auto"/>
          </w:tcPr>
          <w:p>
            <w:pPr>
              <w:pStyle w:val="25"/>
              <w:spacing w:line="360" w:lineRule="auto"/>
              <w:rPr>
                <w:sz w:val="21"/>
                <w:szCs w:val="21"/>
                <w:highlight w:val="none"/>
                <w:lang w:eastAsia="en-US"/>
              </w:rPr>
            </w:pPr>
          </w:p>
        </w:tc>
        <w:tc>
          <w:tcPr>
            <w:tcW w:w="811" w:type="dxa"/>
            <w:shd w:val="clear" w:color="auto" w:fill="auto"/>
          </w:tcPr>
          <w:p>
            <w:pPr>
              <w:pStyle w:val="25"/>
              <w:spacing w:line="360" w:lineRule="auto"/>
              <w:rPr>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25"/>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pPr>
              <w:pStyle w:val="25"/>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pPr>
              <w:pStyle w:val="25"/>
              <w:spacing w:line="360" w:lineRule="auto"/>
              <w:rPr>
                <w:sz w:val="21"/>
                <w:szCs w:val="21"/>
                <w:highlight w:val="none"/>
                <w:lang w:eastAsia="en-US"/>
              </w:rPr>
            </w:pPr>
          </w:p>
        </w:tc>
        <w:tc>
          <w:tcPr>
            <w:tcW w:w="2576" w:type="dxa"/>
            <w:shd w:val="clear" w:color="auto" w:fill="auto"/>
          </w:tcPr>
          <w:p>
            <w:pPr>
              <w:pStyle w:val="25"/>
              <w:spacing w:line="360" w:lineRule="auto"/>
              <w:rPr>
                <w:sz w:val="21"/>
                <w:szCs w:val="21"/>
                <w:highlight w:val="none"/>
                <w:lang w:eastAsia="en-US"/>
              </w:rPr>
            </w:pPr>
          </w:p>
        </w:tc>
        <w:tc>
          <w:tcPr>
            <w:tcW w:w="811" w:type="dxa"/>
            <w:shd w:val="clear" w:color="auto" w:fill="auto"/>
          </w:tcPr>
          <w:p>
            <w:pPr>
              <w:pStyle w:val="25"/>
              <w:spacing w:line="360" w:lineRule="auto"/>
              <w:rPr>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25"/>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pPr>
              <w:pStyle w:val="25"/>
              <w:spacing w:line="360" w:lineRule="auto"/>
              <w:rPr>
                <w:sz w:val="21"/>
                <w:szCs w:val="21"/>
                <w:highlight w:val="none"/>
                <w:lang w:eastAsia="en-US"/>
              </w:rPr>
            </w:pPr>
          </w:p>
        </w:tc>
        <w:tc>
          <w:tcPr>
            <w:tcW w:w="2497" w:type="dxa"/>
            <w:shd w:val="clear" w:color="auto" w:fill="auto"/>
          </w:tcPr>
          <w:p>
            <w:pPr>
              <w:pStyle w:val="25"/>
              <w:spacing w:line="360" w:lineRule="auto"/>
              <w:rPr>
                <w:sz w:val="21"/>
                <w:szCs w:val="21"/>
                <w:highlight w:val="none"/>
                <w:lang w:eastAsia="en-US"/>
              </w:rPr>
            </w:pPr>
          </w:p>
        </w:tc>
        <w:tc>
          <w:tcPr>
            <w:tcW w:w="2576" w:type="dxa"/>
            <w:shd w:val="clear" w:color="auto" w:fill="auto"/>
          </w:tcPr>
          <w:p>
            <w:pPr>
              <w:pStyle w:val="25"/>
              <w:spacing w:line="360" w:lineRule="auto"/>
              <w:rPr>
                <w:sz w:val="21"/>
                <w:szCs w:val="21"/>
                <w:highlight w:val="none"/>
                <w:lang w:eastAsia="en-US"/>
              </w:rPr>
            </w:pPr>
          </w:p>
        </w:tc>
        <w:tc>
          <w:tcPr>
            <w:tcW w:w="811" w:type="dxa"/>
            <w:shd w:val="clear" w:color="auto" w:fill="auto"/>
          </w:tcPr>
          <w:p>
            <w:pPr>
              <w:pStyle w:val="25"/>
              <w:spacing w:line="360" w:lineRule="auto"/>
              <w:rPr>
                <w:sz w:val="21"/>
                <w:szCs w:val="21"/>
                <w:highlight w:val="none"/>
                <w:lang w:eastAsia="en-US"/>
              </w:rPr>
            </w:pPr>
          </w:p>
        </w:tc>
      </w:tr>
    </w:tbl>
    <w:p>
      <w:pPr>
        <w:spacing w:line="360" w:lineRule="auto"/>
        <w:rPr>
          <w:rFonts w:ascii="宋体" w:hAnsi="宋体"/>
          <w:highlight w:val="none"/>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pPr>
        <w:rPr>
          <w:rFonts w:ascii="宋体" w:hAnsi="宋体"/>
          <w:b/>
          <w:highlight w:val="none"/>
        </w:rPr>
      </w:pPr>
    </w:p>
    <w:p>
      <w:pPr>
        <w:spacing w:line="360" w:lineRule="auto"/>
        <w:rPr>
          <w:rFonts w:ascii="宋体" w:hAnsi="宋体"/>
          <w:highlight w:val="none"/>
        </w:rPr>
        <w:sectPr>
          <w:pgSz w:w="11910" w:h="16840"/>
          <w:pgMar w:top="1400" w:right="1440" w:bottom="1220" w:left="1580" w:header="877" w:footer="1033" w:gutter="0"/>
          <w:pgNumType w:fmt="decimal"/>
          <w:cols w:space="720" w:num="1"/>
        </w:sectPr>
      </w:pPr>
    </w:p>
    <w:p>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pPr>
        <w:rPr>
          <w:rFonts w:hint="eastAsia"/>
          <w:b/>
          <w:sz w:val="28"/>
          <w:szCs w:val="28"/>
          <w:highlight w:val="none"/>
          <w:lang w:val="en-US" w:eastAsia="zh-CN"/>
        </w:rPr>
      </w:pPr>
      <w:r>
        <w:rPr>
          <w:rFonts w:hint="eastAsia"/>
          <w:b/>
          <w:sz w:val="28"/>
          <w:szCs w:val="28"/>
          <w:highlight w:val="none"/>
          <w:lang w:val="en-US" w:eastAsia="zh-CN"/>
        </w:rPr>
        <w:br w:type="page"/>
      </w:r>
    </w:p>
    <w:p>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pPr>
        <w:pStyle w:val="10"/>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pPr>
        <w:pStyle w:val="10"/>
        <w:spacing w:line="360" w:lineRule="auto"/>
        <w:rPr>
          <w:sz w:val="21"/>
          <w:szCs w:val="21"/>
          <w:highlight w:val="none"/>
        </w:rPr>
      </w:pPr>
    </w:p>
    <w:p>
      <w:pPr>
        <w:pStyle w:val="10"/>
        <w:spacing w:line="360" w:lineRule="auto"/>
        <w:rPr>
          <w:sz w:val="21"/>
          <w:szCs w:val="21"/>
          <w:highlight w:val="none"/>
        </w:rPr>
      </w:pPr>
    </w:p>
    <w:p>
      <w:pPr>
        <w:pStyle w:val="10"/>
        <w:spacing w:before="2" w:line="360" w:lineRule="auto"/>
        <w:rPr>
          <w:b/>
          <w:sz w:val="28"/>
          <w:szCs w:val="28"/>
          <w:highlight w:val="none"/>
        </w:rPr>
      </w:pPr>
    </w:p>
    <w:p>
      <w:pPr>
        <w:spacing w:line="360" w:lineRule="auto"/>
        <w:rPr>
          <w:rFonts w:ascii="宋体" w:hAnsi="宋体"/>
          <w:highlight w:val="none"/>
        </w:rPr>
      </w:pPr>
    </w:p>
    <w:p>
      <w:pPr>
        <w:widowControl/>
        <w:spacing w:line="360" w:lineRule="auto"/>
        <w:jc w:val="left"/>
        <w:rPr>
          <w:highlight w:val="none"/>
        </w:rPr>
      </w:pPr>
    </w:p>
    <w:p>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474E690E"/>
    <w:multiLevelType w:val="singleLevel"/>
    <w:tmpl w:val="474E690E"/>
    <w:lvl w:ilvl="0" w:tentative="0">
      <w:start w:val="3"/>
      <w:numFmt w:val="decimal"/>
      <w:lvlText w:val="%1."/>
      <w:lvlJc w:val="left"/>
      <w:pPr>
        <w:tabs>
          <w:tab w:val="left" w:pos="312"/>
        </w:tabs>
      </w:p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58930FBA"/>
    <w:multiLevelType w:val="singleLevel"/>
    <w:tmpl w:val="58930FBA"/>
    <w:lvl w:ilvl="0" w:tentative="0">
      <w:start w:val="7"/>
      <w:numFmt w:val="chineseCounting"/>
      <w:suff w:val="nothing"/>
      <w:lvlText w:val="%1、"/>
      <w:lvlJc w:val="left"/>
      <w:rPr>
        <w:rFonts w:hint="eastAsia"/>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4">
    <w:nsid w:val="7CEE6E0A"/>
    <w:multiLevelType w:val="singleLevel"/>
    <w:tmpl w:val="7CEE6E0A"/>
    <w:lvl w:ilvl="0" w:tentative="0">
      <w:start w:val="1"/>
      <w:numFmt w:val="decimal"/>
      <w:suff w:val="nothing"/>
      <w:lvlText w:val="%1、"/>
      <w:lvlJc w:val="left"/>
    </w:lvl>
  </w:abstractNum>
  <w:num w:numId="1">
    <w:abstractNumId w:val="2"/>
  </w:num>
  <w:num w:numId="2">
    <w:abstractNumId w:val="0"/>
  </w:num>
  <w:num w:numId="3">
    <w:abstractNumId w:val="18"/>
  </w:num>
  <w:num w:numId="4">
    <w:abstractNumId w:val="15"/>
  </w:num>
  <w:num w:numId="5">
    <w:abstractNumId w:val="3"/>
  </w:num>
  <w:num w:numId="6">
    <w:abstractNumId w:val="13"/>
  </w:num>
  <w:num w:numId="7">
    <w:abstractNumId w:val="9"/>
  </w:num>
  <w:num w:numId="8">
    <w:abstractNumId w:val="6"/>
  </w:num>
  <w:num w:numId="9">
    <w:abstractNumId w:val="5"/>
  </w:num>
  <w:num w:numId="10">
    <w:abstractNumId w:val="10"/>
  </w:num>
  <w:num w:numId="11">
    <w:abstractNumId w:val="7"/>
  </w:num>
  <w:num w:numId="12">
    <w:abstractNumId w:val="11"/>
  </w:num>
  <w:num w:numId="13">
    <w:abstractNumId w:val="14"/>
  </w:num>
  <w:num w:numId="14">
    <w:abstractNumId w:val="4"/>
  </w:num>
  <w:num w:numId="15">
    <w:abstractNumId w:val="19"/>
  </w:num>
  <w:num w:numId="16">
    <w:abstractNumId w:val="8"/>
  </w:num>
  <w:num w:numId="17">
    <w:abstractNumId w:val="17"/>
  </w:num>
  <w:num w:numId="18">
    <w:abstractNumId w:val="23"/>
  </w:num>
  <w:num w:numId="19">
    <w:abstractNumId w:val="1"/>
  </w:num>
  <w:num w:numId="20">
    <w:abstractNumId w:val="21"/>
  </w:num>
  <w:num w:numId="21">
    <w:abstractNumId w:val="24"/>
  </w:num>
  <w:num w:numId="22">
    <w:abstractNumId w:val="22"/>
  </w:num>
  <w:num w:numId="23">
    <w:abstractNumId w:val="16"/>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25D6B3C"/>
    <w:rsid w:val="0276496F"/>
    <w:rsid w:val="02E42DB9"/>
    <w:rsid w:val="03012D45"/>
    <w:rsid w:val="04205DF4"/>
    <w:rsid w:val="0469150F"/>
    <w:rsid w:val="04D330E5"/>
    <w:rsid w:val="05976809"/>
    <w:rsid w:val="067C2738"/>
    <w:rsid w:val="068E3768"/>
    <w:rsid w:val="06E81DAF"/>
    <w:rsid w:val="0729329C"/>
    <w:rsid w:val="074F4D80"/>
    <w:rsid w:val="08C629D1"/>
    <w:rsid w:val="09376339"/>
    <w:rsid w:val="0A1B2FC1"/>
    <w:rsid w:val="0A5B5FFE"/>
    <w:rsid w:val="0C944B69"/>
    <w:rsid w:val="0D576FA9"/>
    <w:rsid w:val="0D662A42"/>
    <w:rsid w:val="0DFC602A"/>
    <w:rsid w:val="0E2F72E6"/>
    <w:rsid w:val="0EA80A39"/>
    <w:rsid w:val="0F162D44"/>
    <w:rsid w:val="0FE97C61"/>
    <w:rsid w:val="1099299D"/>
    <w:rsid w:val="10F1501F"/>
    <w:rsid w:val="117A158E"/>
    <w:rsid w:val="11EA2697"/>
    <w:rsid w:val="13070B2A"/>
    <w:rsid w:val="131B354D"/>
    <w:rsid w:val="138A3509"/>
    <w:rsid w:val="161B48EC"/>
    <w:rsid w:val="17244B96"/>
    <w:rsid w:val="1741301E"/>
    <w:rsid w:val="17C74D2B"/>
    <w:rsid w:val="193747F9"/>
    <w:rsid w:val="19DE2002"/>
    <w:rsid w:val="1A1B310D"/>
    <w:rsid w:val="1ADE3FFC"/>
    <w:rsid w:val="1CBD494F"/>
    <w:rsid w:val="1E067975"/>
    <w:rsid w:val="1E380731"/>
    <w:rsid w:val="202F0D9F"/>
    <w:rsid w:val="21C86989"/>
    <w:rsid w:val="220F79FB"/>
    <w:rsid w:val="22896053"/>
    <w:rsid w:val="236E24FF"/>
    <w:rsid w:val="242A6CBE"/>
    <w:rsid w:val="243E4B47"/>
    <w:rsid w:val="24C1549C"/>
    <w:rsid w:val="25507BE4"/>
    <w:rsid w:val="25E30CBB"/>
    <w:rsid w:val="265E036F"/>
    <w:rsid w:val="26D20FF7"/>
    <w:rsid w:val="26FB67A0"/>
    <w:rsid w:val="2715673F"/>
    <w:rsid w:val="27B71CC8"/>
    <w:rsid w:val="28621A71"/>
    <w:rsid w:val="28D15422"/>
    <w:rsid w:val="298F31CF"/>
    <w:rsid w:val="2A192E47"/>
    <w:rsid w:val="2ADB491E"/>
    <w:rsid w:val="2C8763E0"/>
    <w:rsid w:val="2CD0356E"/>
    <w:rsid w:val="2D23435A"/>
    <w:rsid w:val="2D8C6181"/>
    <w:rsid w:val="2E751C04"/>
    <w:rsid w:val="2E9215C0"/>
    <w:rsid w:val="2F3D1696"/>
    <w:rsid w:val="2F675387"/>
    <w:rsid w:val="30756A97"/>
    <w:rsid w:val="308244B4"/>
    <w:rsid w:val="32D467F7"/>
    <w:rsid w:val="34431F5B"/>
    <w:rsid w:val="34CF49F0"/>
    <w:rsid w:val="34D66156"/>
    <w:rsid w:val="365E1201"/>
    <w:rsid w:val="36767BF1"/>
    <w:rsid w:val="371B42F4"/>
    <w:rsid w:val="37210AC3"/>
    <w:rsid w:val="374F3F3E"/>
    <w:rsid w:val="38A86960"/>
    <w:rsid w:val="39134179"/>
    <w:rsid w:val="39B67D68"/>
    <w:rsid w:val="3A307494"/>
    <w:rsid w:val="3A63511A"/>
    <w:rsid w:val="3AAB1E22"/>
    <w:rsid w:val="3B6A1821"/>
    <w:rsid w:val="3B6C3370"/>
    <w:rsid w:val="3B9B253A"/>
    <w:rsid w:val="3BA3537A"/>
    <w:rsid w:val="3C233CBA"/>
    <w:rsid w:val="3C2F0211"/>
    <w:rsid w:val="3F047C92"/>
    <w:rsid w:val="3FF77AF5"/>
    <w:rsid w:val="40CF0629"/>
    <w:rsid w:val="41421566"/>
    <w:rsid w:val="42E278AA"/>
    <w:rsid w:val="445C07A4"/>
    <w:rsid w:val="4486067B"/>
    <w:rsid w:val="457B2B2E"/>
    <w:rsid w:val="45F12797"/>
    <w:rsid w:val="466218E4"/>
    <w:rsid w:val="46D33D94"/>
    <w:rsid w:val="473660FA"/>
    <w:rsid w:val="48D8703E"/>
    <w:rsid w:val="48F41775"/>
    <w:rsid w:val="490177EE"/>
    <w:rsid w:val="490B4434"/>
    <w:rsid w:val="4A2B0A27"/>
    <w:rsid w:val="4A800BE6"/>
    <w:rsid w:val="4ABE3E45"/>
    <w:rsid w:val="4B6E7D0A"/>
    <w:rsid w:val="4C4023DB"/>
    <w:rsid w:val="4C70197B"/>
    <w:rsid w:val="4CF56B0E"/>
    <w:rsid w:val="4D986247"/>
    <w:rsid w:val="4E1F4272"/>
    <w:rsid w:val="4E2640CB"/>
    <w:rsid w:val="4E2F05AE"/>
    <w:rsid w:val="4E5E4D9B"/>
    <w:rsid w:val="4F304D62"/>
    <w:rsid w:val="50091D29"/>
    <w:rsid w:val="508153F5"/>
    <w:rsid w:val="512C5D4A"/>
    <w:rsid w:val="51EC64A8"/>
    <w:rsid w:val="520738F3"/>
    <w:rsid w:val="526306BA"/>
    <w:rsid w:val="5295513C"/>
    <w:rsid w:val="52DA377C"/>
    <w:rsid w:val="533E38B1"/>
    <w:rsid w:val="538A2065"/>
    <w:rsid w:val="549F0A26"/>
    <w:rsid w:val="55C73B6D"/>
    <w:rsid w:val="56372A10"/>
    <w:rsid w:val="57096FC2"/>
    <w:rsid w:val="57572788"/>
    <w:rsid w:val="577D0987"/>
    <w:rsid w:val="57A32CC4"/>
    <w:rsid w:val="57B95A98"/>
    <w:rsid w:val="58022C3B"/>
    <w:rsid w:val="59113D03"/>
    <w:rsid w:val="59407EBE"/>
    <w:rsid w:val="5A1465EF"/>
    <w:rsid w:val="5A6425AA"/>
    <w:rsid w:val="5CB00EB7"/>
    <w:rsid w:val="5D103D2F"/>
    <w:rsid w:val="5D1077E9"/>
    <w:rsid w:val="5DD341C0"/>
    <w:rsid w:val="5E6B6DF5"/>
    <w:rsid w:val="5F8F0AB9"/>
    <w:rsid w:val="5FB15995"/>
    <w:rsid w:val="5FB92779"/>
    <w:rsid w:val="5FBC44DB"/>
    <w:rsid w:val="5FBD301C"/>
    <w:rsid w:val="5FBE066A"/>
    <w:rsid w:val="600969EF"/>
    <w:rsid w:val="604011A2"/>
    <w:rsid w:val="613B1F88"/>
    <w:rsid w:val="61864E71"/>
    <w:rsid w:val="61F01D56"/>
    <w:rsid w:val="62EA2ECC"/>
    <w:rsid w:val="6329414F"/>
    <w:rsid w:val="63566D1A"/>
    <w:rsid w:val="63E34D49"/>
    <w:rsid w:val="67C44B4E"/>
    <w:rsid w:val="67CA66A5"/>
    <w:rsid w:val="68DB3760"/>
    <w:rsid w:val="68DF778D"/>
    <w:rsid w:val="692E7D33"/>
    <w:rsid w:val="69463F27"/>
    <w:rsid w:val="69A71894"/>
    <w:rsid w:val="69D75DFF"/>
    <w:rsid w:val="6A5445A0"/>
    <w:rsid w:val="6A960736"/>
    <w:rsid w:val="6AFF1F99"/>
    <w:rsid w:val="6C207B44"/>
    <w:rsid w:val="6C467142"/>
    <w:rsid w:val="6C700663"/>
    <w:rsid w:val="6DE009A9"/>
    <w:rsid w:val="6EEA46FD"/>
    <w:rsid w:val="6F603815"/>
    <w:rsid w:val="6FD95B7F"/>
    <w:rsid w:val="704378B7"/>
    <w:rsid w:val="71E60D12"/>
    <w:rsid w:val="71EE5B2E"/>
    <w:rsid w:val="71FE5255"/>
    <w:rsid w:val="72793172"/>
    <w:rsid w:val="72DB127A"/>
    <w:rsid w:val="731145AE"/>
    <w:rsid w:val="735942C3"/>
    <w:rsid w:val="74A0760B"/>
    <w:rsid w:val="75644A88"/>
    <w:rsid w:val="763C5F18"/>
    <w:rsid w:val="76592288"/>
    <w:rsid w:val="776502A1"/>
    <w:rsid w:val="780879A1"/>
    <w:rsid w:val="785D6A7A"/>
    <w:rsid w:val="78B2664B"/>
    <w:rsid w:val="78CF1727"/>
    <w:rsid w:val="79476380"/>
    <w:rsid w:val="797F3C93"/>
    <w:rsid w:val="79F80310"/>
    <w:rsid w:val="7A823A40"/>
    <w:rsid w:val="7AEE6A56"/>
    <w:rsid w:val="7B1F572E"/>
    <w:rsid w:val="7B23524A"/>
    <w:rsid w:val="7B93628D"/>
    <w:rsid w:val="7C6F042B"/>
    <w:rsid w:val="7C8E252E"/>
    <w:rsid w:val="7D67680C"/>
    <w:rsid w:val="7E4436FD"/>
    <w:rsid w:val="7EC860DC"/>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qFormat/>
    <w:uiPriority w:val="99"/>
    <w:pPr>
      <w:snapToGrid w:val="0"/>
    </w:pPr>
    <w:rPr>
      <w:rFonts w:ascii="Arial" w:hAnsi="Arial"/>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semiHidden/>
    <w:unhideWhenUsed/>
    <w:qFormat/>
    <w:uiPriority w:val="39"/>
  </w:style>
  <w:style w:type="paragraph" w:styleId="14">
    <w:name w:val="List"/>
    <w:basedOn w:val="1"/>
    <w:qFormat/>
    <w:uiPriority w:val="0"/>
    <w:pPr>
      <w:ind w:left="420" w:hanging="420"/>
    </w:pPr>
    <w:rPr>
      <w:rFonts w:ascii="Times New Roman" w:hAnsi="Times New Roman" w:eastAsia="宋体" w:cs="Times New Roman"/>
      <w:szCs w:val="21"/>
      <w14:ligatures w14:val="none"/>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2"/>
    <w:next w:val="1"/>
    <w:qFormat/>
    <w:uiPriority w:val="99"/>
    <w:pPr>
      <w:tabs>
        <w:tab w:val="left" w:pos="0"/>
        <w:tab w:val="left" w:pos="993"/>
        <w:tab w:val="left" w:pos="1134"/>
      </w:tabs>
      <w:ind w:firstLine="420" w:firstLineChars="200"/>
    </w:pPr>
  </w:style>
  <w:style w:type="character" w:styleId="19">
    <w:name w:val="Hyperlink"/>
    <w:qFormat/>
    <w:uiPriority w:val="0"/>
    <w:rPr>
      <w:rFonts w:cs="Times New Roman"/>
      <w:color w:val="0000FF"/>
      <w:u w:val="single"/>
    </w:rPr>
  </w:style>
  <w:style w:type="paragraph" w:customStyle="1" w:styleId="20">
    <w:name w:val="Char"/>
    <w:basedOn w:val="1"/>
    <w:next w:val="1"/>
    <w:qFormat/>
    <w:uiPriority w:val="0"/>
    <w:pPr>
      <w:numPr>
        <w:ilvl w:val="0"/>
        <w:numId w:val="1"/>
      </w:numPr>
    </w:pPr>
    <w:rPr>
      <w:sz w:val="24"/>
      <w:szCs w:val="24"/>
    </w:rPr>
  </w:style>
  <w:style w:type="paragraph" w:customStyle="1" w:styleId="21">
    <w:name w:val="无间隔1"/>
    <w:basedOn w:val="1"/>
    <w:qFormat/>
    <w:uiPriority w:val="99"/>
    <w:pPr>
      <w:spacing w:line="400" w:lineRule="exact"/>
    </w:pPr>
    <w:rPr>
      <w:sz w:val="24"/>
    </w:rPr>
  </w:style>
  <w:style w:type="paragraph" w:customStyle="1" w:styleId="22">
    <w:name w:val="BodyText1I2"/>
    <w:basedOn w:val="23"/>
    <w:qFormat/>
    <w:uiPriority w:val="0"/>
    <w:pPr>
      <w:ind w:left="420" w:firstLine="420" w:firstLineChars="200"/>
      <w:jc w:val="both"/>
      <w:textAlignment w:val="baseline"/>
    </w:pPr>
  </w:style>
  <w:style w:type="paragraph" w:customStyle="1" w:styleId="23">
    <w:name w:val="BodyTextIndent"/>
    <w:basedOn w:val="1"/>
    <w:next w:val="2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34"/>
    <w:pPr>
      <w:ind w:firstLine="420" w:firstLineChars="200"/>
    </w:pPr>
  </w:style>
  <w:style w:type="paragraph" w:customStyle="1" w:styleId="27">
    <w:name w:val="_Style 18"/>
    <w:basedOn w:val="1"/>
    <w:next w:val="2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8">
    <w:name w:val="正文new"/>
    <w:basedOn w:val="1"/>
    <w:qFormat/>
    <w:uiPriority w:val="0"/>
    <w:pPr>
      <w:adjustRightInd w:val="0"/>
      <w:snapToGrid w:val="0"/>
      <w:ind w:firstLine="480" w:firstLineChars="200"/>
    </w:pPr>
  </w:style>
  <w:style w:type="paragraph" w:customStyle="1" w:styleId="29">
    <w:name w:val="p15"/>
    <w:basedOn w:val="1"/>
    <w:next w:val="9"/>
    <w:qFormat/>
    <w:uiPriority w:val="99"/>
    <w:pPr>
      <w:widowControl/>
    </w:pPr>
    <w:rPr>
      <w:kern w:val="0"/>
    </w:rPr>
  </w:style>
  <w:style w:type="paragraph" w:customStyle="1" w:styleId="3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16459</Words>
  <Characters>16942</Characters>
  <Lines>0</Lines>
  <Paragraphs>0</Paragraphs>
  <TotalTime>9</TotalTime>
  <ScaleCrop>false</ScaleCrop>
  <LinksUpToDate>false</LinksUpToDate>
  <CharactersWithSpaces>17263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2025-11-24T08:24:00Z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08853A9395434FA4A5155A150A56DBF1_13</vt:lpwstr>
  </property>
  <property fmtid="{D5CDD505-2E9C-101B-9397-08002B2CF9AE}" pid="4" name="KSOTemplateDocerSaveRecord">
    <vt:lpwstr>eyJoZGlkIjoiNjljZTczNmE4ODI1ODA0OGQwODgwYzkxNDQ1NzNjMzciLCJ1c2VySWQiOiIzNzQ2OTQ1MDcifQ==</vt:lpwstr>
  </property>
</Properties>
</file>